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Договір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на постачання природного газу</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м. Київ</w:t>
        <w:tab/>
        <w:tab/>
        <w:tab/>
        <w:tab/>
        <w:tab/>
        <w:tab/>
        <w:tab/>
        <w:tab/>
        <w:tab/>
        <w:tab/>
        <w:t xml:space="preserve">«  » _______ 2020 р.</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ТОВАРИСТВО З ОБМЕЖЕНОЮ ВІДПОВІДАЛЬНІСТЮ «</w:t>
      </w:r>
      <w:r w:rsidDel="00000000" w:rsidR="00000000" w:rsidRPr="00000000">
        <w:rPr>
          <w:rFonts w:ascii="Times New Roman" w:cs="Times New Roman" w:eastAsia="Times New Roman" w:hAnsi="Times New Roman"/>
          <w:b w:val="1"/>
          <w:bCs w:val="1"/>
          <w:rtl w:val="0"/>
        </w:rPr>
        <w:t xml:space="preserve">ХІМЕНЕРГО ТРЕЙД</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(надалі –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Постачальник</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ЕІС код ________________</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що має ліцензію на право провадження господарської діяльності з постачання природного газу на території України, видану постановою Національної комісії, що здійснює державне регулювання у сферах енергетики та комунальних послуг, в особі директора Янчука Андрія Анатолійовича, що діє на підставі Статуту з однієї сторони,та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________________________________________________________________</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(надалі –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Споживач</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ЕІС код ________________________</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в особі ______________________________, що діє на підставі _______________ з другої сторони, в подальшому Постачальник та Споживач, разом іменуються «Сторони», а кожна окремо – «Сторона», керуючись вимогами Кодексу ГТС в редакції Постанови НКРЕКП №1437 від 27.12.2017р., а також іншими нормативними документами, які регламентують поставку та розподіл природного газу, уклали даний Договір постачання природного газу про наступне:</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77"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«ВИЗНАЧЕННЯ ТЕРМІНІВ:</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Наступні терміни мають відповідні значення в Договорі, які зазначені нижче: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Оператор ГТС</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оператор газотранспортної системи.</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Оператор ГРМ</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оператор газорозподільних систем.</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Розрахунковий період</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газова доба та/або газові доби протягом газового місяця щодо якого між Сторонами визначаються обсяги відбору/споживання природного газу та здійснюються розрахунки.</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Газова доба (D)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газова доба, в якій здійснюється надання послуги постачання природного газ. Газова доба (D) триває з 07:00 дня до 07:00 наступного дня.</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Газова доба (D+1) –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газова доба, наступна за газовою добою (D).</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Газова доба (D-1) –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газова доба, що передує газовій добі (D).</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Газовий місяць (М</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газовий місяць, в якому здійснюється надання послуги постачання природного газу. Газовий місяць розпочинається з першої газової доби поточного місяця і триває до початку першої газової доби наступного місяця.</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Газовий місяць (М +1) –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газовий місяць, наступний за газовим місяцем (М).</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Газовий місяць (М -1) –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газовий місяць, що передує газовому місяцю (М).</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Небаланс</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різниця між обсягами природного газу, що були замовленні Споживачем у Постачальника та фактичними обсягами споживання, що визначаються відповідно до алокації Оператором ГТС.</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Позитивний небаланс –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якщо обсяги спожитого природного газу Споживачем є менше ніж замовлений у Постачальника.</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Негативний небаланс –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якщо обсяги спожитого природного газу Споживачем є більше ніж замовлений у Постачальника.</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Період балансування</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газова доба (D).</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Плата за добовий небаланс</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сума коштів, яку Споживач сплачує Постачальнику відповідно до розміру добового небалансу.</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Алокація</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обсяг природного газу Споживача, віднесений Оператором ГТС Постачальнику з метою визначення обсягів небалансів такого Споживача.</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Інформаційна платформа</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електронна платформа у вигляді веб-додатка в мережі Інтернет, функціонування та керування якою забезпечується Оператором ГТС, яка використовується Постачальником для замовлення послуг транспортування природного газу для потреб Споживача.</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Номінація</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попереднє повідомлення, надане Постачальником Оператору ГТС, стосовно обсягів природного газу, які будуть подані Постачальником протягом доби до газотранспортної системи та спожиті Споживачем.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Реномінація</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заявка Постачальника на зміну підтвердженої Оператором ГТС номінації.</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Підтверджена номінація/реномінація</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підтверджений Оператором ГТС обсяг газу, який буде прийнятий від Постачальника та протранспортований для потреб Споживача.</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Реєстр споживачів постачальника</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перелік споживачів, які в Інформаційній платформі закріплені за Постачальником у розрахунковому періоді.</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Маржинальна ціна продажу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ціна природного газу, яка розраховується Оператором ГТС відповідно до Кодексу ГТС для кожної Газової доби (D) і яка застосовується при розрахунку вартості позитивного небалансу Споживача за цю Газову добу (D).</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Маржинальна ціна придбання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ціна природного газу, яка розраховується Оператором ГТС відповідно до Кодексу ГТС для кожної Газової доби (D) і яка застосовується при розрахунку вартості негативного небалансу Споживача за цю Газову добу (D).</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77"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ПРЕДМЕТ ДОГОВОРУ</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1.1 За цим Договором Постачальник зобов’язується постачати природний газ Споживачу, а Споживач зобов’язується своєчасно сплачувати Постачальнику вартість природного газу у розмірі, строки та порядку, що визначені цим Договором. Окрім оплати вартості газу Споживач зобов‘язаний оплатити Постачальнику вартість добових небалансів (Плата за добовий небаланс) відповідно до умов Договору.</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1.2. Споживач може використовувати природний газ виключно на власні потреби.</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1.3. Якість природного газу має відповідати вимогам визначеним в Кодексі газотранспортної системи (далі – «Кодекс ГТС») та нормативно-правових актах і відповідних стандартах, на які Кодекс ГТС містить посилання.</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1.4. Обов’язковою умовою для постачання природного газу Споживачу, об’єкт якого підключений до газорозподільної системи, є наявність у споживача, об’єкт якого підключений до газорозподільної системи, договору розподілу природного газу, укладеного в установленому порядку між споживачем та Оператором ГРМ, та присвоєння споживачу Оператором ГРМ персонального ЕІС-коду як суб’єкту ринку природного газу.</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Обов’язковою умовою для постачання природного газу Споживачу, об’єкт якого підключений до газотранспортної системи, є наявність у споживача, об’єкт якого підключений до газотранспортної системи, договору транспортування природного газу, укладеного в установленому порядку між споживачем та Оператором ГТС, та присвоєння споживачу Оператором ГТС персонального ЕІС-коду як суб’єкту ринку природного газу.</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 Відносини Сторін, що є предметом цього Договору, але не врегульовані ним, регулюються згідно із Законом України «Про ринок природного газу», Правилами постачання природного газу, Кодексом ГТС, Кодексом газорозподільних систем (далі – Кодекс ГРМ).</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33"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ОБСЯГ ГАЗУ</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2.1. Плановий об’єм (обсяг) постачання/споживання природного газу у 2019-2020 роках за Договором становить ________ тис. (____________________________)куб.м.</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2.2. Об’єми (обсяги) та Розрахункові періоди (періоди поставки природного газу), які є обов’язковими для Сторін за даним Договором встановлюються Сторонами у додаткових угодах до даного Договору.</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2.3. На відповідний Розрахунковий період, Споживач замовляє у Постачальника весь очікуваний обсяг споживання природного газу, необхідний Споживачу, або його точці комерційного обліку, якій присвоєно окремий ЕІС-код.</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2.4. Споживач, замовляючи у Постачальника обсяг природного газу на відповідний Розрахунковий період, підтверджує відсутність простроченої заборгованості за поставлений природний газ перед іншим постачальником (за його наявності), що підтверджується письмовою довідкою іншого постачальника або складеним з ним актом звірки взаєморозрахунків.</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77"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УМОВИ ПОСТАЧАННЯ</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77" w:firstLine="70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3.1. Постачальник передає природний газ Споживачу, об’єкт якого підключений до газорозподільної системи, в точках виходу газотранспортної системи до відповідної газорозподільної системи.</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77" w:firstLine="70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Постачальник передає природний газ Споживачу, об’єкт якого підключений до газотранспортної системи в точках виходу з газотранспортної системи.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77" w:firstLine="70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3.2. На Постачальника не покладаються обов’язки щодо оформлення відносин з Оператором ГРМ та витрати з розподілу природного газу, що передається за цим Договором Споживачу, об’єкт якого підключений до газорозподільної системи. Споживач несе всі витрати за розподіл природного газу мережами відповідного Оператора ГРМ.</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77" w:firstLine="70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На Постачальника не покладаються обов’язки щодо оформлення відносин з Оператором ГТС та витрати з транспортування природного газу, що передається за цим Договором Споживачу, об’єкт якого підключений до газотранспортної системи. Споживач несе всі витрати на транспортування природного газу мережами Оператора ГТС.</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77"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3.3. Сторони до двадцять п’ятого числа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Газового місяця (М -1)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укладають додаткову угоду до Договору щодо постачання природного газу у Газовому місяці (М), в якій встановлюють обсяг природного газу, ціну постачання та графік розрахунків за нього.</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77" w:firstLine="70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3.4. Відповідно до умов Договору, Постачальник до двадцятого числа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Газового місяця (М -1)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подає Оператору ГТС номінацію з обсягами газу, які будуть подані до газотранспортної системи для потреб Споживача у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Газовому місяці (М)</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77" w:firstLine="70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3.5. Коригування договірних планових об’ємів постачання/споживання природного газу у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Газовому місяці (М)</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здійснюється в порядку процедури надання реномінації, передбаченої Кодексом ГТС.</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77" w:firstLine="70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3.6. Сторони домовились, що з дня впровадження добового балансування на ринку природного газу та забезпечення Оператором ГТС функціонування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Інформаційної платформи</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відповідно до вимог Кодексу ГТС в редакції Постанови НКРЕКП №1437 від 27.12.2017р., Сторони керуються наступними умовами постачання:</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77" w:firstLine="70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3.6.1. Сторони не пізніше ніж за 5 днів до початку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Газового місяця (М)</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укладають додаткову угоду до Договору щодо постачання природного газу у відповідному Розрахунковому періоді, в якій встановлюють обсяг природного газу, ціну постачання та графік розрахунків за нього.</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77" w:firstLine="70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3.6.2. Відповідно до укладеної додаткової угоди на відповідний Розрахунковий період, Постачальник:</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77" w:firstLine="70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не пізніше ніж за 5 днів до початку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Газового місяця (М</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включає в Інформаційній платформі Споживача у власний Реєстр споживачів постачальника на відповідний Розрахунковий період.</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77" w:firstLine="70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не пізніше ніж до 15:00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Газової доби (D-1)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подає Оператору ГТС номінацію з обсягами газу, які будуть подані до газотранспортної системи для потреб Споживача протягом відповідної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Газової доби (D)Газового місяця (М)</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77" w:firstLine="70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3.6.3. Споживач до подачі номінації Постачальником на відповідну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Газову добу (D)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має право змінити заявлені обсяги споживання в межах ± 5%, що були вказані в додатковій угоді на відповідний Розрахунковий період, шляхом направлення Постачальнику на електронну пошту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region.epk@gmail.com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повідомлення про зміну плановихобсягів споживання протягом відповідної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Газової доби (D)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(далі – Повідомлення). Повідомлення повинно містити наступну інформацію:</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77" w:firstLine="70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дату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Газової доби (D)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щодо якої необхідно змінити обсяг;</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77" w:firstLine="70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обсяг згідно укладеної додаткової угоди;</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77" w:firstLine="70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обсяг на який необхідно збільшити/зменшити постачання газу протягом Газової доби (D).</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77" w:firstLine="70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Повідомлення надаються не пізніше 12:00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Газової доби (D-1)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77" w:firstLine="70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3.6.4. Споживач протягом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Газової доби (D)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має право змінити заявлені обсяги споживання, що були в підтвердженій Оператором ГТС номінації в межах ± 5%, шляхом направлення Постачальнику на електронну пошту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region.epk@gmail.com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заявки на зміну обсягів споживання протягом відповідної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Газової доби (D)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(далі – Заявка). Заявка повинна містити наступну інформацію:</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77" w:firstLine="70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дату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Газової доби (D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щодо якої необхідно змінити обсяг;</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77" w:firstLine="70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обсяг згідно підтвердженої номінації/реномінації на час подання зміни;</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77" w:firstLine="70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обсяг на який необхідно збільшити/зменшити постачання газу протягом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Газової доби (D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77" w:firstLine="70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Змінам не підлягають обсяги газу, які були спожиті на підставі підтвердженої Оператором ГТС номінації.</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77" w:firstLine="70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Заявки надаються з 09:00 до 17:00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Газової доби (D)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77" w:firstLine="70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3.6.5. Постачальник розглядає Заявки Споживача кожну повну годину. Постачальник розглядає останню Заявку Споживача, одержану перед повною годиною.</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77" w:firstLine="70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3.6.6. Відповідно до отриманої Заявки, Постачальник не пізніше закінчення наступної повної години подає Оператору ГТС реномінацію зі зміненими обсягами газу, які будуть подані до газотранспортної системи та спожиті Споживачем протягом відповідної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Газової доби (D)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77"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4. ЦІНА, ПОРЯДОК ОБЛІКУ ТА ОПЛАТИ ЗА ПРИРОДНИЙ ГАЗ</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4.1. Ціна природного газу за Договором встановлюються Сторонами у додаткових угодах до даного Договору. Ціна природного газу, що встановлена відповідно до даного пункту застосовується до всього обсягу газу (з урахуванням обсягів негативних небалансів), що був спожитий Споживачем у відповідному Розрахунковому періоді.</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4.2. За підсумками розрахункового періоду, Споживач до 05 числа місяця, наступного за розрахунковим, зобов’язаний надати Постачальнику копію відповідного акта про фактичний об’єм (обсяг) розподіленого (протранспортованого) природного газу Споживачу за розрахунковий період, що складений між Оператором ГРМ/ГТС та Споживачем, відповідно до вимог Кодексу ГТС/ГРМ, з урахуванням негативних небалансів.</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4.3. На підставі отриманих від Споживача даних та/або даних Оператора ГТС Постачальник протягом трьох робочих днів готує та надає Споживачу два примірники акта приймання-передачі природного газу за розрахунковий період, підписані уповноваженим представником Постачальника.</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4.4. Споживач протягом двох днів з дати одержання акта приймання-передачі природного газу зобов’язується повернути Постачальнику один примірник оригіналу акта приймання-передачі природного газу, підписаний уповноваженим представником Споживача, або надати в письмовій формі мотивовану відмову від підписання акта приймання-передачі природного газу.</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У випадку відмови від підписання акта приймання-передачі природного газу розбіжності підлягають урегулюванню відповідно до договору або в судовому порядку.</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До прийняття рішення судом, вартість поставленого природного газу встановлюється відповідно до даних Постачальника.</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4.5. Сума, яка була сплачена Споживачем понад вартість фактично отриманого газу за місяцем поставки газу, зараховується Постачальником як авансовий платіж на наступний розрахунковий місяць або перераховується на розрахунковий рахунок Споживача протягом 5 (п’яти) банківських днів з дати отримання письмової вимоги Споживача.</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4.6. Загальна сума Договору складається із загальної вартості газу, поставленого Споживачу за весь період дії Договору.</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5. ПОРЯДОК ОБЛІКУ ТА ОПЛАТИ ЗА ДОБОВИЙ НЕБАЛАНС</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Сторони домовились, що даний Розділ Договору застосовується до правовідносин Сторін, що виникають за даним Договором, з дня впровадження добового балансування на ринку природного газу та забезпечення Оператором ГТС функціонування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Інформаційної платформи</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відповідно до вимог Кодексу ГТС в редакції Постанови НКРЕКП №1437 від 27.12.2017р.</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5.1. У випадку якщо обсяг газу вказаний Споживачам на Газову добу (D) у відповідній додатковій угоді з урахуванням змін Повідомленнями та/або Заявками відповідно до умов Договору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дорівнює</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обсягу фактично спожитого природного газу Споживачем за цю газову добу згідно даних Оператора ГТС то у Споживача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відсутній добовий небаланс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за цю газову добу.</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5.2.  У випадку якщо обсяг газу вказаний Споживачам на Газову добу (D) у відповідній додатковій угоді з урахуванням змін Повідомленнями та/або Заявками відповідно до умов Договору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не дорівнює</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обсягу фактично спожитого природного газу Споживачем за цю газову добу згідно даних Оператора ГТС то у Споживача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є добовий небаланс</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за цю газову добу і до нього застосовується плата за добовий небаланс.</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5.3. Плата за добовий небаланс застосовується таким чином:</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5.3.1. Якщо добовий небаланс Споживача за Газову добу (D) є позитивним (обсяг спожитого газу менше ніж в підтвердженій номінації/реномінації з урахуванням змін відповідно до п. 3.7 Договору) то плата за позитивний небаланс розраховується за формулою:</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ППН = Vп/н * (Цдог. – МЦПрод.), де</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ППН – сума плати за добовий позитивний небаланс, грн. без ПДВ;</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Vп/н – обсяг позитивного небалансу за Газову добу (D), тис.куб.м.;</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Цдог. – ціна по Договору, що діє у відповідну Газову добу (D), грн. без ПДВ за однутис.куб.м;</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МЦПрод. – Маржинальна ціна продажу, що діє у відповідну Газову добу (D), грн. без ПДВ за одну тис.куб.м.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sdt>
        <w:sdtPr>
          <w:id w:val="1878798395"/>
          <w:tag w:val="goog_rdk_0"/>
        </w:sdtPr>
        <w:sdtContent>
          <w:r w:rsidDel="00000000" w:rsidR="00000000" w:rsidRPr="00000000">
            <w:rPr>
              <w:rFonts w:ascii="Gungsuh" w:cs="Gungsuh" w:eastAsia="Gungsuh" w:hAnsi="Gungsuh"/>
              <w:b w:val="0"/>
              <w:bCs w:val="0"/>
              <w:i w:val="0"/>
              <w:iCs w:val="0"/>
              <w:smallCaps w:val="0"/>
              <w:strike w:val="0"/>
              <w:color w:val="000000"/>
              <w:sz w:val="22"/>
              <w:szCs w:val="22"/>
              <w:u w:val="none"/>
              <w:shd w:fill="auto" w:val="clear"/>
              <w:vertAlign w:val="baseline"/>
              <w:rtl w:val="0"/>
            </w:rPr>
            <w:t xml:space="preserve">При цьому, якщо (Цдог. – МЦПрод.) ≤ 0, то Плата за добовий небаланс не застосовується.</w:t>
          </w:r>
        </w:sdtContent>
      </w:sdt>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На суму плати за добовий позитивний небаланс нараховується податок на додану вартість за ставкою, передбаченою Податковим кодексом України.</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5.3.2. Якщо добовий небаланс Споживача за Газову добу (D) є негативним (обсяг спожитого газу більше ніж в підтвердженій номінації/реномінації з урахуванням змін відповідно до п. 3.7 Договору) то плата за негативний небаланс розраховуєтеся за формулою:</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ПНН = Vн/н * (МЦПрид. – Цдог.), де</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ПНН – сума плати за добовий негативний небаланс, грн. без ПДВ;</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Vн/н – обсяг негативного небалансу за Газову добу (D), тис.куб.м.;</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Цдог. – ціна по Договору, що діє у відповідну Газову добу (D), грн. без ПДВ за однутис.куб.м;</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МЦПрид. – Маржинальна ціна придбання, що діє у відповідну Газову добу (D), грн. без ПДВ за одну тис.куб.м.</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sdt>
        <w:sdtPr>
          <w:id w:val="1307465757"/>
          <w:tag w:val="goog_rdk_1"/>
        </w:sdtPr>
        <w:sdtContent>
          <w:r w:rsidDel="00000000" w:rsidR="00000000" w:rsidRPr="00000000">
            <w:rPr>
              <w:rFonts w:ascii="Gungsuh" w:cs="Gungsuh" w:eastAsia="Gungsuh" w:hAnsi="Gungsuh"/>
              <w:b w:val="0"/>
              <w:bCs w:val="0"/>
              <w:i w:val="0"/>
              <w:iCs w:val="0"/>
              <w:smallCaps w:val="0"/>
              <w:strike w:val="0"/>
              <w:color w:val="000000"/>
              <w:sz w:val="22"/>
              <w:szCs w:val="22"/>
              <w:u w:val="none"/>
              <w:shd w:fill="auto" w:val="clear"/>
              <w:vertAlign w:val="baseline"/>
              <w:rtl w:val="0"/>
            </w:rPr>
            <w:t xml:space="preserve">При цьому, якщо (МЦПрид. – Цдог.) ≤ 0, то Плата за добовий небаланс не застосовується.</w:t>
          </w:r>
        </w:sdtContent>
      </w:sdt>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Окрім цього на суму плати за добовий негативний небаланс нараховується податок на додану вартість за ставкою, передбаченою Податковим кодексом України.</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5.4. Якщо добовий небаланс Споживача перевищує 10% то:</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плата за позитивний небаланс розраховується за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Маржинальною ціною продажу зменшеною на 10%;</w:t>
      </w: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плата за негативний небаланс розраховується за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Маржинальною ціною придбання збільшеною на 10%</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5.5. Постачальник до 15 числа Газового місяця (M+1), на підставі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single"/>
          <w:shd w:fill="auto" w:val="clear"/>
          <w:vertAlign w:val="baseline"/>
          <w:rtl w:val="0"/>
        </w:rPr>
        <w:t xml:space="preserve">остаточних</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алокацій Оператора ГТС, здійснює розрахунок остаточного обсягу добового небалансу Споживача за кожну Газову добу (D) звітного Газового місяця (M) та визначає остаточну плату за добовий небаланс за кожну Газову добу (D) і сумарно за звітний Газовий місяць (M).</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5.6. Постачальник до 15 числа Газового місяця (М+1) направляє Споживачеві на його електронну адресу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_________________________</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рахунок на оплату за добові небаланси за звітний Газовий місяць (M). Споживач зобов’язаний оплатити рахунок до 15 числа Газового місяця (M+1).</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5.7. Розмір плати за добовий небаланс Споживача оформлюється одностороннім актом за підписом Постачальника. Акт оформлюється датою виставлення рахунку на оплату за добові небаланси відповідно до п. 5.6. Договору.</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5.8. У випадку, якщо ціна природного газу за Договором на обсяги негативного небалансу Споживача буде нижче ціни придбання Постачальником природного газу у Оператора ГТС для покриття таких негативних небалансів Споживача, Споживач зобов’язується компенсувати Постачальнику суму зобов’язань по ПДВ, які виникли у Постачальника внаслідок різниці цін згідно з п.188.1 Податкового кодексу України. Сума компенсації повинна бути підтверджена податковою накладною Постачальника та оплачена Споживачем протягом 2 (двох) днів з дня отримання рахунку на електронну адресу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__________________</w:t>
      </w: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6. ПРАВА ТА ОБОВ’ЯЗКИ СПОЖИВАЧА</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6.1. Споживач має право:</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 отримувати природний газ на умовах, зазначених у цьому Договорі;</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 провести звіряння фактичних розрахунків з підписанням відповідного акта;</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 за умови відсутності простроченої заборгованості за цим Договором перед Постачальником, перейти на постачання природного газу до іншого постачальника та/або достроково призупинити чи розірвати цей Договір у встановленому цим Договором та чинним законодавством порядку;</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 мати інші права, передбачені чинним законодавством  і цим Договором.</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6.2. Споживач зобов’язується:</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 забезпечувати своєчасну та повну оплату поставленого природного газу  згідно з умовами цього Договору;</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 укласти в установленому порядку договір розподілу/транспортування природного газу з Оператором ГРМ/ГТС для набуття права на правомірний відбір газу із газорозподільної/газотранспортної системи та фізичну доставку газу до межі балансової належності об’єкта Споживача;</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 самостійно контролювати власне газоспоживання та не допускати несанкціонованого відбору природного газу;</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 не допускати перевищення підтвердженого обсягу природного газу в розрахунковому періоді шляхом самостійного і завчасного обмеження (припинення) власного газоспоживання;</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 не пізніше наступного робочого дня після укладення договору постачання з новим постачальником письмово повідомити про це Постачальника та розрахуватися з ним за спожитий природний газ у строки, передбачені цим Договором;</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 безперешкодно допускати на свою територію, у приміщення, де розташовані вузли обліку газу, прилади обліку газу, лічильники газу тощо, представників Постачальника після пред’явлення ними службових посвідчень або відповідних довіреностей на вчинення вказаних дій для звіряння показань фактично використаних обсягів природного газу;</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 відшкодовувати Постачальнику збитки, понесені ним у зв’язку з невиконанням або неналежним виконанням Споживачем свої зобов’язань перед Постачальником, що покладені на нього чиним законодавством та/або цим Договором;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8) виконувати інші обов’язки, покладені на Споживача чинним законодавством та/або цим Договором.</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7. ПРАВА ТА ОБОВ’ЯЗКИ ПОСТАЧАЛЬНИКА</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7.1. Постачальник має право:</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 отримувати від Споживача плату за поставлений природний газ;</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 ініціювати припинення постачання природного газу Споживачу у порядку та на умовах, визначених цим Договором та чинним законодавством;</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 безперешкодного доступу до комерційних вузлів (приладів) обліку природного газу Споживача для перевірки показань фактично використаних Споживачем обсягів природного газу;</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 отримувати відшкодування збитків від Споживача, що понесені Постачальником у зв’язку з невиконанням або неналежним виконанням Споживачем свої зобов’язань перед Постачальником, що покладені на нього чиним законодавством та/або цим Договором;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 проводити разом зі Споживачем звіряння фактично використаних обсягів природного газу з підписанням відповідного акта;</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 мати інші права, передбачені чинним законодавством і цим Договором.</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7.2. Постачальник зобов’язується:</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 забезпечувати постачання природного газу на умовах (в тому числі по якості) та в обсягах, визначених цим Договором, за умови дотримання Споживачем дисципліни відбору природного газу та розрахунків за нього та за умови дотримання Оператором ГТС свої обов’язків щодо забезпечення якості природного газу в точках виходу;</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 забезпечувати подання всіх необхідних документів для підтвердження Оператором ГТС необхідного Споживачу обсягу природного газу за умови, що Споживач виконав власні обов’язки перед Постачальником, для замовлення необхідного Споживачу обсягу природного газу;</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 своєчасно повідомляти Споживача, якщо Постачальник перебуває у процесі ліквідації, або визнання банкрутом, або Постачальник проходить по процедурі призупинення/анулювання ліцензії на постачання природного газу, або його ліцензію на провадження діяльності з постачання природного газу анульовано, або її дію зупинено та про відсутність ресурсу природного газу;</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 виконувати інші обов’язки, покладені на Постачальника чинним законодавством та/або цим Договором.</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 відшкодовувати Споживачу збитки, понесені ним у зв’язку з невиконанням або неналежним виконанням Постачальником свої зобов’язань перед Споживачем, що покладені на нього чиним законодавством та/або цим Договором.</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 за умови дотримання Споживачем умов Договору, забезпечити своєчасну реєстрацію Споживача в у власному Реєстрі споживачів (на інформаційній платформі Оператор ГТС) у відповідному розрахунковому періоді.</w:t>
      </w:r>
    </w:p>
    <w:p w:rsidR="00000000" w:rsidDel="00000000" w:rsidP="00000000" w:rsidRDefault="00000000" w:rsidRPr="00000000" w14:paraId="00000091">
      <w:pPr>
        <w:spacing w:after="0" w:line="233"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8. ПОРЯДОК ПРИПИНЕННЯ ТА ВІДНОВЛЕННЯ ГАЗОПОСТАЧАННЯ</w:t>
      </w:r>
    </w:p>
    <w:bookmarkStart w:colFirst="0" w:colLast="0" w:name="bookmark=id.w3g91lxh7ngo" w:id="0"/>
    <w:bookmarkEnd w:id="0"/>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8.1. За умови порушення Споживачем строків оплати за цим Договором, у тому числі за графіком погашення заборгованості та після встановленого цим Договором терміну, Постачальник має право звернутися до Оператора ГТС/ГРМ з дорученням про припинення постачання природного газу Споживачу.</w:t>
      </w:r>
    </w:p>
    <w:bookmarkStart w:colFirst="0" w:colLast="0" w:name="bookmark=id.afr2ev7mss87" w:id="1"/>
    <w:bookmarkEnd w:id="1"/>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8.2. Припинення газопостачання не звільняє Споживача від обов’язку сплатити заборгованість Постачальнику за цим Договором.</w:t>
      </w:r>
    </w:p>
    <w:bookmarkStart w:colFirst="0" w:colLast="0" w:name="bookmark=id.uw5cnj2gva1q" w:id="2"/>
    <w:bookmarkEnd w:id="2"/>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8.3. Відновлення газопостачання Споживачу може бути здійснено за умови повного розрахунку Споживача за спожитий природний газ за цим Договором або складання Сторонами графіка погашення заборгованості на умовах цього Договору та відшкодування витрат Постачальника на припинення та відновлення газопостачання.</w:t>
      </w:r>
    </w:p>
    <w:bookmarkStart w:colFirst="0" w:colLast="0" w:name="bookmark=id.1l0x5tya1vzf" w:id="3"/>
    <w:bookmarkEnd w:id="3"/>
    <w:p w:rsidR="00000000" w:rsidDel="00000000" w:rsidP="00000000" w:rsidRDefault="00000000" w:rsidRPr="00000000" w14:paraId="00000096">
      <w:pPr>
        <w:spacing w:after="0" w:line="233"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9. ВІДПОВІДАЛЬНІСТЬ СТОРІН</w:t>
      </w:r>
    </w:p>
    <w:p w:rsidR="00000000" w:rsidDel="00000000" w:rsidP="00000000" w:rsidRDefault="00000000" w:rsidRPr="00000000" w14:paraId="00000098">
      <w:pPr>
        <w:spacing w:after="0" w:line="233"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9.1. За невиконання або неналежне виконання своїх зобов’язань за цим Договором Сторони несуть відповідальність, передбачену цим Договором та чинним законодавством.</w:t>
      </w:r>
    </w:p>
    <w:p w:rsidR="00000000" w:rsidDel="00000000" w:rsidP="00000000" w:rsidRDefault="00000000" w:rsidRPr="00000000" w14:paraId="00000099">
      <w:pPr>
        <w:spacing w:after="0" w:line="233"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9.2. Якщо за підсумками розрахункового періоду фактичний об’єм (обсяг) природного газу, спожитий Споживачем за цим Договором, буде менший від замовленого ним та підтвердженого </w:t>
      </w:r>
      <w:r w:rsidDel="00000000" w:rsidR="00000000" w:rsidRPr="00000000">
        <w:rPr>
          <w:rFonts w:ascii="Times New Roman" w:cs="Times New Roman" w:eastAsia="Times New Roman" w:hAnsi="Times New Roman"/>
          <w:rtl w:val="0"/>
        </w:rPr>
        <w:t xml:space="preserve">обсягу Оператором ГТС (за умови, що підтверджений обсяг відповідав замовленому споживачем), Постачальник має право вимагати від Споживача відшкодування збитків у розмірі подвійної облікової ставки Національного банку України від вартості недовикористаного обсягу природного газу за звітний період.</w:t>
      </w:r>
    </w:p>
    <w:p w:rsidR="00000000" w:rsidDel="00000000" w:rsidP="00000000" w:rsidRDefault="00000000" w:rsidRPr="00000000" w14:paraId="0000009A">
      <w:pPr>
        <w:spacing w:after="0" w:line="233"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9.3. Якщо за підсумками розрахункового періоду фактичний об’єм (обсяг) постачання природного газу Споживачу буде перевищувати підтверджений обсяг природного газу на цей період (за умови, що підтверджений обсяг відповідав замовленому споживачем), Постачальник має право вимагати від Споживача відшкодування збитків за перевищення об’єму (обсягу) природного газу, що розраховується за формулою</w:t>
      </w:r>
    </w:p>
    <w:bookmarkStart w:colFirst="0" w:colLast="0" w:name="bookmark=id.d47p49rz4mzs" w:id="4"/>
    <w:bookmarkEnd w:id="4"/>
    <w:p w:rsidR="00000000" w:rsidDel="00000000" w:rsidP="00000000" w:rsidRDefault="00000000" w:rsidRPr="00000000" w14:paraId="0000009B">
      <w:pPr>
        <w:shd w:fill="ffffff" w:val="clea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 = (V</w:t>
      </w:r>
      <w:r w:rsidDel="00000000" w:rsidR="00000000" w:rsidRPr="00000000">
        <w:rPr>
          <w:rFonts w:ascii="Times New Roman" w:cs="Times New Roman" w:eastAsia="Times New Roman" w:hAnsi="Times New Roman"/>
          <w:b w:val="1"/>
          <w:bCs w:val="1"/>
          <w:color w:val="000000"/>
          <w:vertAlign w:val="subscript"/>
          <w:rtl w:val="0"/>
        </w:rPr>
        <w:t xml:space="preserve">ф</w:t>
      </w:r>
      <w:r w:rsidDel="00000000" w:rsidR="00000000" w:rsidRPr="00000000">
        <w:rPr>
          <w:rFonts w:ascii="Times New Roman" w:cs="Times New Roman" w:eastAsia="Times New Roman" w:hAnsi="Times New Roman"/>
          <w:color w:val="000000"/>
          <w:rtl w:val="0"/>
        </w:rPr>
        <w:t xml:space="preserve"> - V</w:t>
      </w:r>
      <w:r w:rsidDel="00000000" w:rsidR="00000000" w:rsidRPr="00000000">
        <w:rPr>
          <w:rFonts w:ascii="Times New Roman" w:cs="Times New Roman" w:eastAsia="Times New Roman" w:hAnsi="Times New Roman"/>
          <w:b w:val="1"/>
          <w:bCs w:val="1"/>
          <w:color w:val="000000"/>
          <w:vertAlign w:val="subscript"/>
          <w:rtl w:val="0"/>
        </w:rPr>
        <w:t xml:space="preserve">п</w:t>
      </w:r>
      <w:r w:rsidDel="00000000" w:rsidR="00000000" w:rsidRPr="00000000">
        <w:rPr>
          <w:rFonts w:ascii="Times New Roman" w:cs="Times New Roman" w:eastAsia="Times New Roman" w:hAnsi="Times New Roman"/>
          <w:color w:val="000000"/>
          <w:rtl w:val="0"/>
        </w:rPr>
        <w:t xml:space="preserve">) x Ц х K,</w:t>
      </w:r>
    </w:p>
    <w:p w:rsidR="00000000" w:rsidDel="00000000" w:rsidP="00000000" w:rsidRDefault="00000000" w:rsidRPr="00000000" w14:paraId="0000009C">
      <w:pPr>
        <w:shd w:fill="ffffff" w:val="clear"/>
        <w:spacing w:after="0" w:line="240" w:lineRule="auto"/>
        <w:jc w:val="center"/>
        <w:rPr>
          <w:rFonts w:ascii="Times New Roman" w:cs="Times New Roman" w:eastAsia="Times New Roman" w:hAnsi="Times New Roman"/>
          <w:color w:val="000000"/>
        </w:rPr>
      </w:pPr>
      <w:r w:rsidDel="00000000" w:rsidR="00000000" w:rsidRPr="00000000">
        <w:rPr>
          <w:rtl w:val="0"/>
        </w:rPr>
      </w:r>
    </w:p>
    <w:tbl>
      <w:tblPr>
        <w:tblStyle w:val="Table1"/>
        <w:tblW w:w="10206.0" w:type="dxa"/>
        <w:jc w:val="left"/>
        <w:tblLayout w:type="fixed"/>
        <w:tblLook w:val="0400"/>
      </w:tblPr>
      <w:tblGrid>
        <w:gridCol w:w="438"/>
        <w:gridCol w:w="560"/>
        <w:gridCol w:w="199"/>
        <w:gridCol w:w="9009"/>
        <w:tblGridChange w:id="0">
          <w:tblGrid>
            <w:gridCol w:w="438"/>
            <w:gridCol w:w="560"/>
            <w:gridCol w:w="199"/>
            <w:gridCol w:w="9009"/>
          </w:tblGrid>
        </w:tblGridChange>
      </w:tblGrid>
      <w:tr>
        <w:trPr>
          <w:cantSplit w:val="0"/>
          <w:trHeight w:val="846" w:hRule="atLeast"/>
          <w:tblHeader w:val="0"/>
        </w:trPr>
        <w:tc>
          <w:tcPr/>
          <w:bookmarkStart w:colFirst="0" w:colLast="0" w:name="bookmark=id.vt155g2w696z" w:id="5"/>
          <w:bookmarkEnd w:id="5"/>
          <w:p w:rsidR="00000000" w:rsidDel="00000000" w:rsidP="00000000" w:rsidRDefault="00000000" w:rsidRPr="00000000" w14:paraId="0000009D">
            <w:pPr>
              <w:spacing w:after="0" w:line="233"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де:</w:t>
            </w:r>
          </w:p>
        </w:tc>
        <w:tc>
          <w:tcPr/>
          <w:p w:rsidR="00000000" w:rsidDel="00000000" w:rsidP="00000000" w:rsidRDefault="00000000" w:rsidRPr="00000000" w14:paraId="0000009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w:t>
            </w:r>
            <w:r w:rsidDel="00000000" w:rsidR="00000000" w:rsidRPr="00000000">
              <w:rPr>
                <w:rFonts w:ascii="Times New Roman" w:cs="Times New Roman" w:eastAsia="Times New Roman" w:hAnsi="Times New Roman"/>
                <w:b w:val="1"/>
                <w:bCs w:val="1"/>
                <w:color w:val="000000"/>
                <w:vertAlign w:val="subscript"/>
                <w:rtl w:val="0"/>
              </w:rPr>
              <w:t xml:space="preserve">ф</w:t>
            </w:r>
            <w:r w:rsidDel="00000000" w:rsidR="00000000" w:rsidRPr="00000000">
              <w:rPr>
                <w:rtl w:val="0"/>
              </w:rPr>
            </w:r>
          </w:p>
        </w:tc>
        <w:tc>
          <w:tcPr/>
          <w:p w:rsidR="00000000" w:rsidDel="00000000" w:rsidP="00000000" w:rsidRDefault="00000000" w:rsidRPr="00000000" w14:paraId="0000009F">
            <w:pPr>
              <w:spacing w:after="0" w:line="233"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p w:rsidR="00000000" w:rsidDel="00000000" w:rsidP="00000000" w:rsidRDefault="00000000" w:rsidRPr="00000000" w14:paraId="000000A0">
            <w:pPr>
              <w:spacing w:after="0" w:line="233"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об’єм (обсяг) природного газу, який фактично поставлений Постачальником Споживачу протягом розрахункового періоду за договором на постачання природного газу;</w:t>
            </w:r>
          </w:p>
        </w:tc>
      </w:tr>
      <w:tr>
        <w:trPr>
          <w:cantSplit w:val="0"/>
          <w:tblHeader w:val="0"/>
        </w:trPr>
        <w:tc>
          <w:tcPr/>
          <w:p w:rsidR="00000000" w:rsidDel="00000000" w:rsidP="00000000" w:rsidRDefault="00000000" w:rsidRPr="00000000" w14:paraId="000000A1">
            <w:pPr>
              <w:spacing w:after="0" w:line="240" w:lineRule="auto"/>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A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w:t>
            </w:r>
            <w:r w:rsidDel="00000000" w:rsidR="00000000" w:rsidRPr="00000000">
              <w:rPr>
                <w:rFonts w:ascii="Times New Roman" w:cs="Times New Roman" w:eastAsia="Times New Roman" w:hAnsi="Times New Roman"/>
                <w:b w:val="1"/>
                <w:bCs w:val="1"/>
                <w:color w:val="000000"/>
                <w:vertAlign w:val="subscript"/>
                <w:rtl w:val="0"/>
              </w:rPr>
              <w:t xml:space="preserve">п</w:t>
            </w:r>
            <w:r w:rsidDel="00000000" w:rsidR="00000000" w:rsidRPr="00000000">
              <w:rPr>
                <w:rtl w:val="0"/>
              </w:rPr>
            </w:r>
          </w:p>
        </w:tc>
        <w:tc>
          <w:tcPr/>
          <w:p w:rsidR="00000000" w:rsidDel="00000000" w:rsidP="00000000" w:rsidRDefault="00000000" w:rsidRPr="00000000" w14:paraId="000000A3">
            <w:pPr>
              <w:spacing w:after="0" w:line="233"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p w:rsidR="00000000" w:rsidDel="00000000" w:rsidP="00000000" w:rsidRDefault="00000000" w:rsidRPr="00000000" w14:paraId="000000A4">
            <w:pPr>
              <w:spacing w:after="0" w:line="233"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підтверджений обсяг природного газу на розрахунковий період;</w:t>
            </w:r>
          </w:p>
        </w:tc>
      </w:tr>
      <w:tr>
        <w:trPr>
          <w:cantSplit w:val="0"/>
          <w:trHeight w:val="270" w:hRule="atLeast"/>
          <w:tblHeader w:val="0"/>
        </w:trPr>
        <w:tc>
          <w:tcPr/>
          <w:p w:rsidR="00000000" w:rsidDel="00000000" w:rsidP="00000000" w:rsidRDefault="00000000" w:rsidRPr="00000000" w14:paraId="000000A5">
            <w:pPr>
              <w:spacing w:after="0" w:line="233" w:lineRule="auto"/>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A6">
            <w:pPr>
              <w:spacing w:after="0" w:line="233"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Ц</w:t>
            </w:r>
          </w:p>
        </w:tc>
        <w:tc>
          <w:tcPr/>
          <w:p w:rsidR="00000000" w:rsidDel="00000000" w:rsidP="00000000" w:rsidRDefault="00000000" w:rsidRPr="00000000" w14:paraId="000000A7">
            <w:pPr>
              <w:spacing w:after="0" w:line="233"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p w:rsidR="00000000" w:rsidDel="00000000" w:rsidP="00000000" w:rsidRDefault="00000000" w:rsidRPr="00000000" w14:paraId="000000A8">
            <w:pPr>
              <w:spacing w:after="0" w:line="233"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ціна природного газу за договором постачання природного газу;</w:t>
            </w:r>
          </w:p>
        </w:tc>
      </w:tr>
      <w:tr>
        <w:trPr>
          <w:cantSplit w:val="0"/>
          <w:tblHeader w:val="0"/>
        </w:trPr>
        <w:tc>
          <w:tcPr/>
          <w:p w:rsidR="00000000" w:rsidDel="00000000" w:rsidP="00000000" w:rsidRDefault="00000000" w:rsidRPr="00000000" w14:paraId="000000A9">
            <w:pPr>
              <w:spacing w:after="0" w:line="233" w:lineRule="auto"/>
              <w:jc w:val="center"/>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AA">
            <w:pPr>
              <w:spacing w:after="0" w:line="233" w:lineRule="auto"/>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K</w:t>
            </w:r>
            <w:r w:rsidDel="00000000" w:rsidR="00000000" w:rsidRPr="00000000">
              <w:rPr>
                <w:rtl w:val="0"/>
              </w:rPr>
            </w:r>
          </w:p>
        </w:tc>
        <w:tc>
          <w:tcPr/>
          <w:p w:rsidR="00000000" w:rsidDel="00000000" w:rsidP="00000000" w:rsidRDefault="00000000" w:rsidRPr="00000000" w14:paraId="000000AB">
            <w:pPr>
              <w:spacing w:after="0" w:line="233" w:lineRule="auto"/>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w:t>
            </w:r>
            <w:r w:rsidDel="00000000" w:rsidR="00000000" w:rsidRPr="00000000">
              <w:rPr>
                <w:rtl w:val="0"/>
              </w:rPr>
            </w:r>
          </w:p>
        </w:tc>
        <w:tc>
          <w:tcPr/>
          <w:p w:rsidR="00000000" w:rsidDel="00000000" w:rsidP="00000000" w:rsidRDefault="00000000" w:rsidRPr="00000000" w14:paraId="000000AC">
            <w:pPr>
              <w:spacing w:after="0" w:line="233" w:lineRule="auto"/>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коефіцієнт, який дорівнює 0,5.</w:t>
            </w:r>
            <w:r w:rsidDel="00000000" w:rsidR="00000000" w:rsidRPr="00000000">
              <w:rPr>
                <w:rtl w:val="0"/>
              </w:rPr>
            </w:r>
          </w:p>
        </w:tc>
      </w:tr>
    </w:tbl>
    <w:bookmarkStart w:colFirst="0" w:colLast="0" w:name="bookmark=id.6mazftn2akql" w:id="6"/>
    <w:bookmarkEnd w:id="6"/>
    <w:p w:rsidR="00000000" w:rsidDel="00000000" w:rsidP="00000000" w:rsidRDefault="00000000" w:rsidRPr="00000000" w14:paraId="000000AD">
      <w:pPr>
        <w:spacing w:after="0" w:line="233" w:lineRule="auto"/>
        <w:ind w:firstLine="709"/>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E">
      <w:pPr>
        <w:spacing w:after="0" w:line="233"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Якщо перевищення об’єму (обсягу) природного газу стало наслідком відмови в доступі до об’єкта Споживача, у результаті чого Постачальник не здійснив пломбування запірних пристроїв на газових приладах споживача, або Оператор ГРМ/ГТС не здійснив обмеження (припинення) розподілу/транспортування природного газу Споживачу, або коли Споживач не обмежив (припинив) споживання природного газу на письмову вимогу Постачальника, коефіцієнт </w:t>
        <w:br w:type="textWrapping"/>
      </w:r>
      <w:r w:rsidDel="00000000" w:rsidR="00000000" w:rsidRPr="00000000">
        <w:rPr>
          <w:rFonts w:ascii="Times New Roman" w:cs="Times New Roman" w:eastAsia="Times New Roman" w:hAnsi="Times New Roman"/>
          <w:rtl w:val="0"/>
        </w:rPr>
        <w:t xml:space="preserve">дорівнює</w:t>
      </w:r>
      <w:r w:rsidDel="00000000" w:rsidR="00000000" w:rsidRPr="00000000">
        <w:rPr>
          <w:rFonts w:ascii="Times New Roman" w:cs="Times New Roman" w:eastAsia="Times New Roman" w:hAnsi="Times New Roman"/>
          <w:color w:val="000000"/>
          <w:rtl w:val="0"/>
        </w:rPr>
        <w:t xml:space="preserve"> 1.</w:t>
      </w:r>
      <w:r w:rsidDel="00000000" w:rsidR="00000000" w:rsidRPr="00000000">
        <w:rPr>
          <w:rtl w:val="0"/>
        </w:rPr>
      </w:r>
    </w:p>
    <w:p w:rsidR="00000000" w:rsidDel="00000000" w:rsidP="00000000" w:rsidRDefault="00000000" w:rsidRPr="00000000" w14:paraId="000000AF">
      <w:pPr>
        <w:spacing w:after="0" w:line="233"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 Відшкодування збитків Споживачем Постачальнику не здійснюється, якщо фактичний обсяг споживання в розрахунковому періоді відрізняється від підтвердженого обсягу природного газу не більше ніж на ±5 %.</w:t>
      </w:r>
    </w:p>
    <w:p w:rsidR="00000000" w:rsidDel="00000000" w:rsidP="00000000" w:rsidRDefault="00000000" w:rsidRPr="00000000" w14:paraId="000000B0">
      <w:pPr>
        <w:spacing w:after="0" w:line="233"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9.5. У разі якщо постачання газу Споживачу було припинено Оператором ГРМ/ГТС на виконання неправомірного доручення Постачальника про припинення постачання газу Споживачу, Постачальник відшкодовує Споживачу вартість або об’єм недовідпущеного природного газу, який обчислюється, виходячи з підтвердженого обсягу природного газу на відповідний період з урахуванням періоду безпідставного припинення газопостачання, та вартість робіт з припинення і повторного відновлення подачі газу після його безпідставного припинення. Крім того, якщо внаслідок цього Споживачу або його майну завдано шкоди, Постачальник відшкодовує її в повному обсязі</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B1">
      <w:pPr>
        <w:spacing w:after="0" w:line="233"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9.6. У разі якщо підтверджений обсяг природного газу менше планового об’єму (обсягу), визначеного Договором, або несвоєчасно погоджений Постачальником з Оператором ГТС на відповідний період (за умови, що Споживачем не порушувались зобов’язання за цим Договором), що призвело до припинення розподілу/транспортування природного газу Оператором ГРМ/ГТС, Споживач має право вимагати від Постачальника відшкодування вартості або об’єму недовідпущеного природного газу, який обчислюється, виходячи з планового об’єму (обсягу) постачання природного газу, визначеного цим Договором на відповідний період, з урахуванням періоду припинення газопостачання та вартості робіт з припинення і повторного відновлення подачі газу після його безпідставного припинення.</w:t>
      </w:r>
    </w:p>
    <w:p w:rsidR="00000000" w:rsidDel="00000000" w:rsidP="00000000" w:rsidRDefault="00000000" w:rsidRPr="00000000" w14:paraId="000000B2">
      <w:pPr>
        <w:spacing w:after="0" w:line="233"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9.7. Постачальник не несе будь-якої відповідальності перед Споживачем за непостачання природного газу, якщо таке непостачання є наслідком подачі номінацій на Споживача іншими постачальниками.</w:t>
      </w:r>
    </w:p>
    <w:p w:rsidR="00000000" w:rsidDel="00000000" w:rsidP="00000000" w:rsidRDefault="00000000" w:rsidRPr="00000000" w14:paraId="000000B3">
      <w:pPr>
        <w:spacing w:after="0" w:line="24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 У випадку виникнення негативного небалансу з вини </w:t>
      </w:r>
      <w:r w:rsidDel="00000000" w:rsidR="00000000" w:rsidRPr="00000000">
        <w:rPr>
          <w:rFonts w:ascii="Times New Roman" w:cs="Times New Roman" w:eastAsia="Times New Roman" w:hAnsi="Times New Roman"/>
          <w:color w:val="000000"/>
          <w:rtl w:val="0"/>
        </w:rPr>
        <w:t xml:space="preserve">Споживача</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Споживач </w:t>
      </w:r>
      <w:r w:rsidDel="00000000" w:rsidR="00000000" w:rsidRPr="00000000">
        <w:rPr>
          <w:rFonts w:ascii="Times New Roman" w:cs="Times New Roman" w:eastAsia="Times New Roman" w:hAnsi="Times New Roman"/>
          <w:rtl w:val="0"/>
        </w:rPr>
        <w:t xml:space="preserve">безумовно погоджується відшкодувати Постачальнику документально підтверджену суму, яка буде сплачена Постачальником Оператору ГТС для врегулювання негативного небалансу </w:t>
      </w:r>
      <w:r w:rsidDel="00000000" w:rsidR="00000000" w:rsidRPr="00000000">
        <w:rPr>
          <w:rFonts w:ascii="Times New Roman" w:cs="Times New Roman" w:eastAsia="Times New Roman" w:hAnsi="Times New Roman"/>
          <w:color w:val="000000"/>
          <w:rtl w:val="0"/>
        </w:rPr>
        <w:t xml:space="preserve">Споживача </w:t>
      </w:r>
      <w:r w:rsidDel="00000000" w:rsidR="00000000" w:rsidRPr="00000000">
        <w:rPr>
          <w:rFonts w:ascii="Times New Roman" w:cs="Times New Roman" w:eastAsia="Times New Roman" w:hAnsi="Times New Roman"/>
          <w:rtl w:val="0"/>
        </w:rPr>
        <w:t xml:space="preserve">відповідно до Кодексу ГТС.</w:t>
      </w:r>
    </w:p>
    <w:p w:rsidR="00000000" w:rsidDel="00000000" w:rsidP="00000000" w:rsidRDefault="00000000" w:rsidRPr="00000000" w14:paraId="000000B4">
      <w:pPr>
        <w:spacing w:after="0" w:line="24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 У разі порушення Споживачем строків розрахунків за природний газ, встановлених цим Договором, Споживач сплачує на користь Постачальника (крім суми заборгованості) пеню у розмірі подвійної облікової ставки НБУ, що діяла в період, за який сплачується пеня, від суми простроченого платежу за кожен день прострочення платежу. Пеня сплачується Споживачем протягом 5 (п’яти) банківських днів з моменту отримання Споживачем письмової вимоги Постачальника.</w:t>
      </w:r>
    </w:p>
    <w:p w:rsidR="00000000" w:rsidDel="00000000" w:rsidP="00000000" w:rsidRDefault="00000000" w:rsidRPr="00000000" w14:paraId="000000B5">
      <w:pPr>
        <w:spacing w:after="0" w:line="24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9.10. Постачальник не відповідає за будь-які перебої у транспортуванні або розподілі природного газу, які стосуються функціонування, обслуговування та/або розвитку газотранспортної та/або газорозподільної системи, а також за будь-яке погіршення якості природного газу, що сталося з вини відповідального системного оператора. Відповідно до Кодексу ГТС/ГРМ відповідальним за якість природного газу у точках виходу є Оператор ГТС/ГРМ.</w:t>
      </w:r>
    </w:p>
    <w:p w:rsidR="00000000" w:rsidDel="00000000" w:rsidP="00000000" w:rsidRDefault="00000000" w:rsidRPr="00000000" w14:paraId="000000B6">
      <w:pPr>
        <w:spacing w:after="0" w:line="24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9.11. Сплата штрафних санкцій, передбачених цим Договором, не звільняє від відшкодування збитків в повному обсязі.</w:t>
      </w:r>
    </w:p>
    <w:p w:rsidR="00000000" w:rsidDel="00000000" w:rsidP="00000000" w:rsidRDefault="00000000" w:rsidRPr="00000000" w14:paraId="000000B7">
      <w:pPr>
        <w:spacing w:after="0" w:line="24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9.12. Постачальник зобов’язаний скласти та надати Споживачу податкову накладну та розрахунок коригування до податкової накладної, який передбачає збільшення зобов’язань по такій податковій накладній в електронному вигляді, зареєстровані в Єдиному Реєстрі Податкових Накладних згідно вимог Податкового Кодексу України.</w:t>
      </w:r>
    </w:p>
    <w:p w:rsidR="00000000" w:rsidDel="00000000" w:rsidP="00000000" w:rsidRDefault="00000000" w:rsidRPr="00000000" w14:paraId="000000B8">
      <w:pPr>
        <w:spacing w:after="0" w:line="22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 разі зменшення суми компенсації вартості природного газу, Постачальник зобов’язаний скласти та надати Споживачу в електронному вигляді, згідно вимог законодавства України, розрахунок коригування до податкової накладної, який передбачає зменшення зобов’язань по такій податковій накладній, а Споживач зареєструвати такий розрахунок коригування до податкової накладної в Єдиному Реєстрі Податкових Накладних, але в будь-якому випадку не пізніше кінцевої дати реєстрації розрахунку коригування до податкової накладної, встановленої законодавством України. </w:t>
      </w:r>
    </w:p>
    <w:p w:rsidR="00000000" w:rsidDel="00000000" w:rsidP="00000000" w:rsidRDefault="00000000" w:rsidRPr="00000000" w14:paraId="000000B9">
      <w:pPr>
        <w:spacing w:after="0" w:line="22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разі якщо такий розрахунок коригування не буде зареєстрований Споживачем в Єдиному Реєстрі Податкових Накладних згідно вимог ПКУ з вини Споживача, останній зобов’язаний, на вимогу Постачальника, відшкодувати Постачальнику збитки в сумі такого зменшення податкового зобов’язання.</w:t>
      </w:r>
    </w:p>
    <w:p w:rsidR="00000000" w:rsidDel="00000000" w:rsidP="00000000" w:rsidRDefault="00000000" w:rsidRPr="00000000" w14:paraId="000000BA">
      <w:pPr>
        <w:spacing w:after="0" w:line="22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9.13. Підписанням цього Договору, Споживач підтверджує та гарантує що в нього відсутня прострочена заборгованість за поставлений природний газ перед його діючим постачальником (за його наявності). </w:t>
      </w:r>
    </w:p>
    <w:p w:rsidR="00000000" w:rsidDel="00000000" w:rsidP="00000000" w:rsidRDefault="00000000" w:rsidRPr="00000000" w14:paraId="000000BB">
      <w:pPr>
        <w:spacing w:after="0" w:line="22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9.14. </w:t>
      </w:r>
      <w:r w:rsidDel="00000000" w:rsidR="00000000" w:rsidRPr="00000000">
        <w:rPr>
          <w:rFonts w:ascii="Times New Roman" w:cs="Times New Roman" w:eastAsia="Times New Roman" w:hAnsi="Times New Roman"/>
          <w:color w:val="000000"/>
          <w:rtl w:val="0"/>
        </w:rPr>
        <w:t xml:space="preserve">Сторони домовились, що з дня впровадження добового балансування на ринку природного газу та забезпечення Оператором ГТС функціонування </w:t>
      </w:r>
      <w:r w:rsidDel="00000000" w:rsidR="00000000" w:rsidRPr="00000000">
        <w:rPr>
          <w:rFonts w:ascii="Times New Roman" w:cs="Times New Roman" w:eastAsia="Times New Roman" w:hAnsi="Times New Roman"/>
          <w:i w:val="1"/>
          <w:iCs w:val="1"/>
          <w:color w:val="000000"/>
          <w:rtl w:val="0"/>
        </w:rPr>
        <w:t xml:space="preserve">Інформаційної платформи</w:t>
      </w:r>
      <w:r w:rsidDel="00000000" w:rsidR="00000000" w:rsidRPr="00000000">
        <w:rPr>
          <w:rFonts w:ascii="Times New Roman" w:cs="Times New Roman" w:eastAsia="Times New Roman" w:hAnsi="Times New Roman"/>
          <w:color w:val="000000"/>
          <w:rtl w:val="0"/>
        </w:rPr>
        <w:t xml:space="preserve">, відповідно до вимог Кодексу ГТС в редакції Постанови НКРЕКП №1437 від 27.12.2017р. Сторони керуються наступним:</w:t>
      </w:r>
      <w:r w:rsidDel="00000000" w:rsidR="00000000" w:rsidRPr="00000000">
        <w:rPr>
          <w:rtl w:val="0"/>
        </w:rPr>
      </w:r>
    </w:p>
    <w:p w:rsidR="00000000" w:rsidDel="00000000" w:rsidP="00000000" w:rsidRDefault="00000000" w:rsidRPr="00000000" w14:paraId="000000BC">
      <w:pPr>
        <w:spacing w:after="0" w:line="233"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9.14.1. У разі якщо Постачальник не забезпечив своєчасне включення Споживача до власного Реєстру споживачів у погодженому зі споживачем періоді постачання (за умови, що споживачем не порушувались зобов’язання за договором постачання природного газу), що призвело до припинення розподілу/транспортування природного газу Оператором ГРМ/ГТС, Споживач має право вимагати від Постачальника відшкодування вартості або об’єму недовідпущеного природного газу, який обчислюється виходячи з підтвердженого обсягу природного газу, визначеного договором постачання природного газу на відповідний період, з урахуванням періоду припинення газопостачання та вартості робіт з припинення і повторного відновлення подачі природного газу після його безпідставного припинення.</w:t>
      </w:r>
    </w:p>
    <w:p w:rsidR="00000000" w:rsidDel="00000000" w:rsidP="00000000" w:rsidRDefault="00000000" w:rsidRPr="00000000" w14:paraId="000000BD">
      <w:pPr>
        <w:spacing w:after="0" w:line="233"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9.14.2. Постачальник не несе будь-якої відповідальності перед Споживачем за непостачання природного газу, якщо таке непостачання є наслідком не</w:t>
      </w:r>
      <w:r w:rsidDel="00000000" w:rsidR="00000000" w:rsidRPr="00000000">
        <w:rPr>
          <w:rFonts w:ascii="Times New Roman" w:cs="Times New Roman" w:eastAsia="Times New Roman" w:hAnsi="Times New Roman"/>
          <w:rtl w:val="0"/>
        </w:rPr>
        <w:t xml:space="preserve"> включення Споживача до власного Реєстру споживачів</w:t>
      </w:r>
      <w:r w:rsidDel="00000000" w:rsidR="00000000" w:rsidRPr="00000000">
        <w:rPr>
          <w:rFonts w:ascii="Times New Roman" w:cs="Times New Roman" w:eastAsia="Times New Roman" w:hAnsi="Times New Roman"/>
          <w:color w:val="000000"/>
          <w:rtl w:val="0"/>
        </w:rPr>
        <w:t xml:space="preserve">  через дії/бездіяльність Споживача, іншого постачальника Споживача або Оператора ГТС.</w:t>
      </w:r>
    </w:p>
    <w:p w:rsidR="00000000" w:rsidDel="00000000" w:rsidP="00000000" w:rsidRDefault="00000000" w:rsidRPr="00000000" w14:paraId="000000BE">
      <w:pPr>
        <w:spacing w:after="0" w:line="228"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10. ПОРЯДОК ВИРІШЕННЯ СПОРІВ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08"/>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10.1. Спори, що виникли із цього Договору, вирішуються шляхом двосторонніх переговорів уповноваженими представниками Сторін. У випадку неможливості врегулювання спорів шляхом переговорів, спори вирішуються в судовому порядку у відповідності з діючим законодавством України.</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08"/>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11. ФОРС – МАЖОРНІ ОБСТАВИНИ</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11.1. Сторони звільняються від відповідальності за невиконання чи неналежне виконання обов’язків за цим Договором, якщо це було наслідком дії обставин непереборної сили (форс-мажорних обставин).</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11.2. Під обставинами непереборної сили слід розуміти обставини, що виникли після підписання цього Договору в наслідок непередбачених Сторонами дій надзвичайного характеру, що включають, зокрема але не виключно: військові дії, блокади, ембарго, дії державних органів, пожежі, аварії на газотранспортних системах та під час розробки родовищ, інші стихійні лиха, а також нормативно-правові акти (інші офіційні документи), прийняті уповноваженими державними органами (або іншими установами), що унеможливлюють виконання цього Договору.</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11.3. До форс-мажорних обставин також відносяться наступні події та обставини:</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11.3.1. Прийняття та набрання чинності законодавчими актами, законами, підзаконними актами, правилами, постановами та/або наказами уряду або урядових органів  або дотримання таких законодавчих актів, законів, правил, постанов та/або наказів, які безпосередньо стосуються Сторони, в тому числі такі, внаслідок яких виконання будь-якою із Сторін її зобов’язань за цим Договором робиться незаконним або неможливим.</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11.3.2. Форс-мажорна обставина, належним чином встановлена за договірними домовленостями будь-якої із Сторін з Оператором ГТС відносно доступу до газотранспортної системи України, що стосується поставки і прийняття природного газу за цим Договором.</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11.4. Сторона, що не має можливості виконати свої зобов’язання за Договором внаслідок виникнення та дії форс-мажорних обставин, повинна повідомити про це іншу Сторону протягом 3 (трьох) робочих днів з моменту настання таких обставин та протягом 15 (п’ятнадцяти) календарних днів надати та/або повідомити іншій Стороні докази, які підтверджують виникнення форс-мажорних обставин та їх наслідки або причинно-наслідковий зв’язок між зазначеними обставинами та можливими наслідками для Сторони. Аналогічні умови застосовуються щодо повідомлення про припинення дії форс-мажорних обставин та/або їх наслідків.</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11.5. Порушення строку на повідомлення, зазначеного в п. 10.4. цього Договору, позбавляє Сторону права посилатись на форс-мажорні обставини як на підставу від звільнення від відповідальності за повне чи часткове порушення своїх зобов’язань за цим Договором.</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11.6. Належним доказом існування та дії форс-мажорних обставин є належним чином оформлений документ, виданий Торгово-промисловою палатою України, за виключенням форс-мажорних обставин, перелічених у п.п. 11.3.1. п. 11.3.2. цього Договору.</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11.7. Якщо форс-мажорні обставини та/або їх наслідки тимчасово перешкоджають відповідній Стороні виконувати свої обов’язки за цим Договором, то строк виконання зобов’язань продовжується на строк, протягом якого діють форс-мажорні обставини та/або їх наслідки.</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11.8. Якщо форс-мажорні обставини та/або їх наслідки триватимуть довше, ніж 1 (один) місяць, кожна із Сторін має право розірвати цей Договір, повідомивши про таке розірвання іншу Сторону у письмовій формі не менше, ніж за 15 (п’ятнадцять) календарних днів до моменту розірвання. При цьому Сторони зобов’язані до моменту розірвання Договору провести взаєморозрахунки за фактично поставлений та прийнятий газ за цим Договором.</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379"/>
        </w:tabs>
        <w:spacing w:after="0" w:before="0" w:line="240" w:lineRule="auto"/>
        <w:ind w:left="0" w:right="77"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12. СТРОК ДІЇ ДОГОВОРУ ТА ІНШІ УМОВИ</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12.1. Цей Договір набуває чинності з дати його підписання та діє в частині зобов’язань щодо приймання/передачі природного газу до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___________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року, а в частині грошових зобов’язань – до їх повного виконання.</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Сторони домовились, що підписані Сторонами та скріплені печатками скан-копії договору, додаткових угод до договору, акти прийому-передачі газу, листи Сторін, що стосуються договору, мають  юридичну силу до заміни їх оригіналами. В разі наявності розбіжностей між скан-копіями та оригіналами документів, Сторони керуються оригіналами підписаних та скріплених печатками документами.</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12.2. Всі додаткові угоди, доповнення, зміни та додатки до цього Договору, які викладені у письмовому вигляді, підписані уповноваженими представниками Сторін та скріплені печатками Сторін, є невід’ємною  частиною цього Договору.</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12.3. Договір, його зміст, а також всі доповнення до нього є конфіденційними документами і не підлягають розголошенню Стороною без згоди іншої Сторони протягом всього строку дії Договору.</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12.4. Сторони є платниками податку на прибуток на загальних умовах у відповідності до ст. 136  п. 136.1  Податкового Кодексу України.</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12.5. Сторони несуть повну відповідальність за правильність зазначених ними у цьому Договорі реквізитів та зобов’язуються своєчасно у письмовій формі повідомляти іншу Сторону про їх зміну, а у разі неповідомлення несуть ризик настання пов’язаних із ним несприятливих наслідків.</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12.6. Жодна зі Сторін не має права передавати, переуступати або іншим чином делегувати свої права та обов’язки третім особам за цим Договором без письмової згоди на це іншої Сторони.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12.7. Терміни, що не визначені в цьому Договорі, мають значення, передбачені Законом України «Про ринок природного газу» та Правилами постачання природного газу, затверджених постановою Національної комісії, що здійснює державне регулювання у сферах енергетики та комунальних послуг, від 30 вересня 2015 року № 2496.</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12.8. Постачальник зобов’язується забезпечити вчасне та повне інформування Споживача про умови постачання, ціни на природний газ та вартість надаваних послуг, роз’яснення значення актів законодавства, якими регулюються відносини Сторін, ведення точних та прозорих розрахунків зі Споживачем, а також можливість вирішення спірних питань шляхом досудового врегулювання.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12.9. Постачальник та Споживач підтверджують, що їх представники, уповноважені на підписання цього Договору від імені Сторін, не відстороненні від виконання своїх обов’язків, і їх повноваження підтвердженні належним чином.</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12.10. Цей Договір складений при повному розумінні Сторонами його умов та термінології українською мовою у 2-х автентичних примірниках.</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12.11. Будь-які положення, які не врегульовані цим Договором, але стосуються його укладення, тлумачення, виконання, порушення, припинення або чинності, регулюються чинним законодавством України.</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12.12. Сторони направляють повідомлення за цим Договором за допомогою поштового зв’язку на адреси сторін, які зазначені  в цьому Договорі. Будь-яке Повідомлення за Договором вважається отриманим стороною на третій день з дати його надходження до поштового відділення відповідної сторони включно.</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76"/>
        </w:tabs>
        <w:spacing w:after="0" w:before="0" w:line="240" w:lineRule="auto"/>
        <w:ind w:left="0" w:right="77"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13. РЕКВІЗИТИ ТА ПІДПИСИ СТОРІН:</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76"/>
        </w:tabs>
        <w:spacing w:after="0" w:before="0" w:line="240" w:lineRule="auto"/>
        <w:ind w:left="0" w:right="77"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tbl>
      <w:tblPr>
        <w:tblStyle w:val="Table2"/>
        <w:tblW w:w="10173.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28"/>
        <w:gridCol w:w="5245"/>
        <w:tblGridChange w:id="0">
          <w:tblGrid>
            <w:gridCol w:w="4928"/>
            <w:gridCol w:w="5245"/>
          </w:tblGrid>
        </w:tblGridChange>
      </w:tblGrid>
      <w:tr>
        <w:trPr>
          <w:cantSplit w:val="0"/>
          <w:trHeight w:val="273" w:hRule="atLeast"/>
          <w:tblHeader w:val="0"/>
        </w:trPr>
        <w:tc>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379"/>
              </w:tabs>
              <w:spacing w:after="0" w:before="0" w:line="240" w:lineRule="auto"/>
              <w:ind w:left="0" w:right="77" w:firstLine="72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0">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Постачальник</w:t>
            </w:r>
          </w:p>
          <w:p w:rsidR="00000000" w:rsidDel="00000000" w:rsidP="00000000" w:rsidRDefault="00000000" w:rsidRPr="00000000" w14:paraId="000000E1">
            <w:pPr>
              <w:tabs>
                <w:tab w:val="left" w:leader="none" w:pos="720"/>
              </w:tabs>
              <w:spacing w:after="0" w:line="240" w:lineRule="auto"/>
              <w:ind w:right="58"/>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ТОВАРИСТВО З ОБМЕЖЕНОЮ</w:t>
            </w:r>
          </w:p>
          <w:p w:rsidR="00000000" w:rsidDel="00000000" w:rsidP="00000000" w:rsidRDefault="00000000" w:rsidRPr="00000000" w14:paraId="000000E2">
            <w:pPr>
              <w:tabs>
                <w:tab w:val="left" w:leader="none" w:pos="720"/>
              </w:tabs>
              <w:spacing w:after="0" w:line="240" w:lineRule="auto"/>
              <w:ind w:right="58"/>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ВІДПОВІДАЛЬНІСТЮ</w:t>
            </w:r>
          </w:p>
          <w:p w:rsidR="00000000" w:rsidDel="00000000" w:rsidP="00000000" w:rsidRDefault="00000000" w:rsidRPr="00000000" w14:paraId="000000E3">
            <w:pPr>
              <w:tabs>
                <w:tab w:val="left" w:leader="none" w:pos="720"/>
              </w:tabs>
              <w:spacing w:after="0" w:line="240" w:lineRule="auto"/>
              <w:ind w:right="58"/>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«ХІМЕНЕРГО ТРЕЙД»</w:t>
            </w:r>
          </w:p>
          <w:p w:rsidR="00000000" w:rsidDel="00000000" w:rsidP="00000000" w:rsidRDefault="00000000" w:rsidRPr="00000000" w14:paraId="000000E4">
            <w:pPr>
              <w:tabs>
                <w:tab w:val="left" w:leader="none" w:pos="720"/>
              </w:tabs>
              <w:spacing w:after="0" w:line="240" w:lineRule="auto"/>
              <w:ind w:right="58"/>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5">
            <w:pPr>
              <w:tabs>
                <w:tab w:val="left" w:leader="none" w:pos="720"/>
              </w:tabs>
              <w:spacing w:after="0" w:line="240" w:lineRule="auto"/>
              <w:ind w:right="5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Юридична адреса: Україна, 01054, м. Київ, вул. Ярославів Вал, будинок 33 Б</w:t>
            </w:r>
          </w:p>
          <w:p w:rsidR="00000000" w:rsidDel="00000000" w:rsidP="00000000" w:rsidRDefault="00000000" w:rsidRPr="00000000" w14:paraId="000000E6">
            <w:pPr>
              <w:tabs>
                <w:tab w:val="left" w:leader="none" w:pos="720"/>
              </w:tabs>
              <w:spacing w:after="0" w:line="240" w:lineRule="auto"/>
              <w:ind w:right="5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ЄДРПОУ: 45043238;</w:t>
            </w:r>
          </w:p>
          <w:p w:rsidR="00000000" w:rsidDel="00000000" w:rsidP="00000000" w:rsidRDefault="00000000" w:rsidRPr="00000000" w14:paraId="000000E7">
            <w:pPr>
              <w:tabs>
                <w:tab w:val="left" w:leader="none" w:pos="720"/>
              </w:tabs>
              <w:spacing w:after="0" w:line="240" w:lineRule="auto"/>
              <w:ind w:right="5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Р/р UA333204780000026007924956332</w:t>
            </w:r>
          </w:p>
          <w:p w:rsidR="00000000" w:rsidDel="00000000" w:rsidP="00000000" w:rsidRDefault="00000000" w:rsidRPr="00000000" w14:paraId="000000E8">
            <w:pPr>
              <w:tabs>
                <w:tab w:val="left" w:leader="none" w:pos="720"/>
              </w:tabs>
              <w:spacing w:after="0" w:line="240" w:lineRule="auto"/>
              <w:ind w:right="5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АБ "УКРГАЗБАНК", МФО 305299;</w:t>
            </w:r>
          </w:p>
          <w:p w:rsidR="00000000" w:rsidDel="00000000" w:rsidP="00000000" w:rsidRDefault="00000000" w:rsidRPr="00000000" w14:paraId="000000E9">
            <w:pPr>
              <w:tabs>
                <w:tab w:val="left" w:leader="none" w:pos="720"/>
              </w:tabs>
              <w:spacing w:after="0" w:line="240" w:lineRule="auto"/>
              <w:ind w:right="58"/>
              <w:rPr>
                <w:rFonts w:ascii="Times New Roman" w:cs="Times New Roman" w:eastAsia="Times New Roman" w:hAnsi="Times New Roman"/>
                <w:b w:val="1"/>
                <w:bCs w:val="1"/>
                <w:color w:val="666666"/>
                <w:highlight w:val="white"/>
              </w:rPr>
            </w:pPr>
            <w:r w:rsidDel="00000000" w:rsidR="00000000" w:rsidRPr="00000000">
              <w:rPr>
                <w:rFonts w:ascii="Times New Roman" w:cs="Times New Roman" w:eastAsia="Times New Roman" w:hAnsi="Times New Roman"/>
                <w:rtl w:val="0"/>
              </w:rPr>
              <w:t xml:space="preserve">Е-mail: </w:t>
            </w:r>
            <w:r w:rsidDel="00000000" w:rsidR="00000000" w:rsidRPr="00000000">
              <w:rPr>
                <w:rFonts w:ascii="Times New Roman" w:cs="Times New Roman" w:eastAsia="Times New Roman" w:hAnsi="Times New Roman"/>
                <w:rtl w:val="0"/>
              </w:rPr>
              <w:t xml:space="preserve">himenergo.ua@gmail.com</w:t>
            </w:r>
            <w:r w:rsidDel="00000000" w:rsidR="00000000" w:rsidRPr="00000000">
              <w:rPr>
                <w:rtl w:val="0"/>
              </w:rPr>
            </w:r>
          </w:p>
          <w:p w:rsidR="00000000" w:rsidDel="00000000" w:rsidP="00000000" w:rsidRDefault="00000000" w:rsidRPr="00000000" w14:paraId="000000EA">
            <w:pPr>
              <w:tabs>
                <w:tab w:val="left" w:leader="none" w:pos="720"/>
              </w:tabs>
              <w:spacing w:after="0" w:line="240" w:lineRule="auto"/>
              <w:ind w:right="58"/>
              <w:rPr>
                <w:rFonts w:ascii="Times New Roman" w:cs="Times New Roman" w:eastAsia="Times New Roman" w:hAnsi="Times New Roman"/>
                <w:b w:val="1"/>
                <w:bCs w:val="1"/>
                <w:color w:val="666666"/>
                <w:highlight w:val="white"/>
              </w:rPr>
            </w:pPr>
            <w:r w:rsidDel="00000000" w:rsidR="00000000" w:rsidRPr="00000000">
              <w:rPr>
                <w:rFonts w:ascii="Times New Roman" w:cs="Times New Roman" w:eastAsia="Times New Roman" w:hAnsi="Times New Roman"/>
                <w:color w:val="000000"/>
                <w:highlight w:val="white"/>
                <w:rtl w:val="0"/>
              </w:rPr>
              <w:t xml:space="preserve">тел.+38 (</w:t>
            </w:r>
            <w:r w:rsidDel="00000000" w:rsidR="00000000" w:rsidRPr="00000000">
              <w:rPr>
                <w:rFonts w:ascii="Times New Roman" w:cs="Times New Roman" w:eastAsia="Times New Roman" w:hAnsi="Times New Roman"/>
                <w:highlight w:val="white"/>
                <w:rtl w:val="0"/>
              </w:rPr>
              <w:t xml:space="preserve">097</w:t>
            </w:r>
            <w:r w:rsidDel="00000000" w:rsidR="00000000" w:rsidRPr="00000000">
              <w:rPr>
                <w:rFonts w:ascii="Times New Roman" w:cs="Times New Roman" w:eastAsia="Times New Roman" w:hAnsi="Times New Roman"/>
                <w:color w:val="000000"/>
                <w:highlight w:val="white"/>
                <w:rtl w:val="0"/>
              </w:rPr>
              <w:t xml:space="preserve">) </w:t>
            </w:r>
            <w:r w:rsidDel="00000000" w:rsidR="00000000" w:rsidRPr="00000000">
              <w:rPr>
                <w:rFonts w:ascii="Times New Roman" w:cs="Times New Roman" w:eastAsia="Times New Roman" w:hAnsi="Times New Roman"/>
                <w:highlight w:val="white"/>
                <w:rtl w:val="0"/>
              </w:rPr>
              <w:t xml:space="preserve">651</w:t>
            </w:r>
            <w:r w:rsidDel="00000000" w:rsidR="00000000" w:rsidRPr="00000000">
              <w:rPr>
                <w:rFonts w:ascii="Times New Roman" w:cs="Times New Roman" w:eastAsia="Times New Roman" w:hAnsi="Times New Roman"/>
                <w:color w:val="000000"/>
                <w:highlight w:val="white"/>
                <w:rtl w:val="0"/>
              </w:rPr>
              <w:t xml:space="preserve">-</w:t>
            </w:r>
            <w:r w:rsidDel="00000000" w:rsidR="00000000" w:rsidRPr="00000000">
              <w:rPr>
                <w:rFonts w:ascii="Times New Roman" w:cs="Times New Roman" w:eastAsia="Times New Roman" w:hAnsi="Times New Roman"/>
                <w:highlight w:val="white"/>
                <w:rtl w:val="0"/>
              </w:rPr>
              <w:t xml:space="preserve">14</w:t>
            </w:r>
            <w:r w:rsidDel="00000000" w:rsidR="00000000" w:rsidRPr="00000000">
              <w:rPr>
                <w:rFonts w:ascii="Times New Roman" w:cs="Times New Roman" w:eastAsia="Times New Roman" w:hAnsi="Times New Roman"/>
                <w:color w:val="000000"/>
                <w:highlight w:val="white"/>
                <w:rtl w:val="0"/>
              </w:rPr>
              <w:t xml:space="preserve">-</w:t>
            </w:r>
            <w:r w:rsidDel="00000000" w:rsidR="00000000" w:rsidRPr="00000000">
              <w:rPr>
                <w:rFonts w:ascii="Times New Roman" w:cs="Times New Roman" w:eastAsia="Times New Roman" w:hAnsi="Times New Roman"/>
                <w:highlight w:val="white"/>
                <w:rtl w:val="0"/>
              </w:rPr>
              <w:t xml:space="preserve">49</w:t>
            </w:r>
            <w:r w:rsidDel="00000000" w:rsidR="00000000" w:rsidRPr="00000000">
              <w:rPr>
                <w:rtl w:val="0"/>
              </w:rPr>
            </w:r>
          </w:p>
          <w:p w:rsidR="00000000" w:rsidDel="00000000" w:rsidP="00000000" w:rsidRDefault="00000000" w:rsidRPr="00000000" w14:paraId="000000EB">
            <w:pPr>
              <w:tabs>
                <w:tab w:val="left" w:leader="none" w:pos="426"/>
                <w:tab w:val="left" w:leader="none" w:pos="851"/>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EC">
            <w:pPr>
              <w:tabs>
                <w:tab w:val="left" w:leader="none" w:pos="426"/>
                <w:tab w:val="left" w:leader="none" w:pos="851"/>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ED">
            <w:pPr>
              <w:tabs>
                <w:tab w:val="left" w:leader="none" w:pos="426"/>
                <w:tab w:val="left" w:leader="none" w:pos="851"/>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EE">
            <w:pPr>
              <w:tabs>
                <w:tab w:val="left" w:leader="none" w:pos="426"/>
                <w:tab w:val="left" w:leader="none" w:pos="851"/>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EF">
            <w:pPr>
              <w:tabs>
                <w:tab w:val="left" w:leader="none" w:pos="426"/>
                <w:tab w:val="left" w:leader="none" w:pos="851"/>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0">
            <w:pPr>
              <w:tabs>
                <w:tab w:val="left" w:leader="none" w:pos="426"/>
                <w:tab w:val="left" w:leader="none" w:pos="851"/>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1">
            <w:pPr>
              <w:tabs>
                <w:tab w:val="left" w:leader="none" w:pos="426"/>
                <w:tab w:val="left" w:leader="none" w:pos="851"/>
              </w:tabs>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Директор</w:t>
            </w:r>
          </w:p>
          <w:p w:rsidR="00000000" w:rsidDel="00000000" w:rsidP="00000000" w:rsidRDefault="00000000" w:rsidRPr="00000000" w14:paraId="000000F2">
            <w:pPr>
              <w:tabs>
                <w:tab w:val="left" w:leader="none" w:pos="426"/>
                <w:tab w:val="left" w:leader="none" w:pos="851"/>
              </w:tabs>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3">
            <w:pPr>
              <w:widowControl w:val="0"/>
              <w:tabs>
                <w:tab w:val="left" w:leader="none" w:pos="426"/>
                <w:tab w:val="left" w:leader="none" w:pos="709"/>
                <w:tab w:val="left" w:leader="none" w:pos="9781"/>
              </w:tabs>
              <w:spacing w:after="0" w:line="240" w:lineRule="auto"/>
              <w:ind w:right="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___________________________/Бондар Ю.В./</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379"/>
              </w:tabs>
              <w:spacing w:after="0" w:before="0" w:line="240" w:lineRule="auto"/>
              <w:ind w:left="0" w:right="77"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М.П.</w:t>
            </w:r>
            <w:r w:rsidDel="00000000" w:rsidR="00000000" w:rsidRPr="00000000">
              <w:rPr>
                <w:rtl w:val="0"/>
              </w:rPr>
            </w:r>
          </w:p>
        </w:tc>
        <w:tc>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379"/>
              </w:tabs>
              <w:spacing w:after="0" w:before="0" w:line="240" w:lineRule="auto"/>
              <w:ind w:left="0" w:right="77" w:firstLine="72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6">
            <w:pPr>
              <w:tabs>
                <w:tab w:val="left" w:leader="none" w:pos="0"/>
              </w:tabs>
              <w:spacing w:after="0" w:line="240" w:lineRule="auto"/>
              <w:jc w:val="center"/>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Споживач</w:t>
            </w:r>
          </w:p>
          <w:p w:rsidR="00000000" w:rsidDel="00000000" w:rsidP="00000000" w:rsidRDefault="00000000" w:rsidRPr="00000000" w14:paraId="000000F7">
            <w:pPr>
              <w:widowControl w:val="0"/>
              <w:tabs>
                <w:tab w:val="left" w:leader="none" w:pos="426"/>
                <w:tab w:val="left" w:leader="none" w:pos="709"/>
                <w:tab w:val="left" w:leader="none" w:pos="9781"/>
              </w:tabs>
              <w:spacing w:after="0" w:line="240" w:lineRule="auto"/>
              <w:ind w:right="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8">
            <w:pPr>
              <w:widowControl w:val="0"/>
              <w:tabs>
                <w:tab w:val="left" w:leader="none" w:pos="426"/>
                <w:tab w:val="left" w:leader="none" w:pos="709"/>
                <w:tab w:val="left" w:leader="none" w:pos="9781"/>
              </w:tabs>
              <w:spacing w:after="0" w:line="240" w:lineRule="auto"/>
              <w:ind w:right="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9">
            <w:pPr>
              <w:widowControl w:val="0"/>
              <w:tabs>
                <w:tab w:val="left" w:leader="none" w:pos="426"/>
                <w:tab w:val="left" w:leader="none" w:pos="709"/>
                <w:tab w:val="left" w:leader="none" w:pos="9781"/>
              </w:tabs>
              <w:spacing w:after="0" w:line="240" w:lineRule="auto"/>
              <w:ind w:right="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A">
            <w:pPr>
              <w:widowControl w:val="0"/>
              <w:tabs>
                <w:tab w:val="left" w:leader="none" w:pos="426"/>
                <w:tab w:val="left" w:leader="none" w:pos="709"/>
                <w:tab w:val="left" w:leader="none" w:pos="9781"/>
              </w:tabs>
              <w:spacing w:after="0" w:line="240" w:lineRule="auto"/>
              <w:ind w:right="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B">
            <w:pPr>
              <w:widowControl w:val="0"/>
              <w:tabs>
                <w:tab w:val="left" w:leader="none" w:pos="426"/>
                <w:tab w:val="left" w:leader="none" w:pos="709"/>
                <w:tab w:val="left" w:leader="none" w:pos="9781"/>
              </w:tabs>
              <w:spacing w:after="0" w:line="240" w:lineRule="auto"/>
              <w:ind w:right="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C">
            <w:pPr>
              <w:widowControl w:val="0"/>
              <w:tabs>
                <w:tab w:val="left" w:leader="none" w:pos="426"/>
                <w:tab w:val="left" w:leader="none" w:pos="709"/>
                <w:tab w:val="left" w:leader="none" w:pos="9781"/>
              </w:tabs>
              <w:spacing w:after="0" w:line="240" w:lineRule="auto"/>
              <w:ind w:right="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D">
            <w:pPr>
              <w:widowControl w:val="0"/>
              <w:tabs>
                <w:tab w:val="left" w:leader="none" w:pos="426"/>
                <w:tab w:val="left" w:leader="none" w:pos="709"/>
                <w:tab w:val="left" w:leader="none" w:pos="9781"/>
              </w:tabs>
              <w:spacing w:after="0" w:line="240" w:lineRule="auto"/>
              <w:ind w:right="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E">
            <w:pPr>
              <w:widowControl w:val="0"/>
              <w:tabs>
                <w:tab w:val="left" w:leader="none" w:pos="426"/>
                <w:tab w:val="left" w:leader="none" w:pos="709"/>
                <w:tab w:val="left" w:leader="none" w:pos="9781"/>
              </w:tabs>
              <w:spacing w:after="0" w:line="240" w:lineRule="auto"/>
              <w:ind w:right="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F">
            <w:pPr>
              <w:widowControl w:val="0"/>
              <w:tabs>
                <w:tab w:val="left" w:leader="none" w:pos="426"/>
                <w:tab w:val="left" w:leader="none" w:pos="709"/>
                <w:tab w:val="left" w:leader="none" w:pos="9781"/>
              </w:tabs>
              <w:spacing w:after="0" w:line="240" w:lineRule="auto"/>
              <w:ind w:right="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0">
            <w:pPr>
              <w:widowControl w:val="0"/>
              <w:tabs>
                <w:tab w:val="left" w:leader="none" w:pos="426"/>
                <w:tab w:val="left" w:leader="none" w:pos="709"/>
                <w:tab w:val="left" w:leader="none" w:pos="9781"/>
              </w:tabs>
              <w:spacing w:after="0" w:line="240" w:lineRule="auto"/>
              <w:ind w:right="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1">
            <w:pPr>
              <w:widowControl w:val="0"/>
              <w:tabs>
                <w:tab w:val="left" w:leader="none" w:pos="426"/>
                <w:tab w:val="left" w:leader="none" w:pos="709"/>
                <w:tab w:val="left" w:leader="none" w:pos="9781"/>
              </w:tabs>
              <w:spacing w:after="0" w:line="240" w:lineRule="auto"/>
              <w:ind w:right="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2">
            <w:pPr>
              <w:widowControl w:val="0"/>
              <w:tabs>
                <w:tab w:val="left" w:leader="none" w:pos="426"/>
                <w:tab w:val="left" w:leader="none" w:pos="709"/>
                <w:tab w:val="left" w:leader="none" w:pos="9781"/>
              </w:tabs>
              <w:spacing w:after="0" w:line="240" w:lineRule="auto"/>
              <w:ind w:right="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3">
            <w:pPr>
              <w:widowControl w:val="0"/>
              <w:tabs>
                <w:tab w:val="left" w:leader="none" w:pos="426"/>
                <w:tab w:val="left" w:leader="none" w:pos="709"/>
                <w:tab w:val="left" w:leader="none" w:pos="9781"/>
              </w:tabs>
              <w:spacing w:after="0" w:line="240" w:lineRule="auto"/>
              <w:ind w:right="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4">
            <w:pPr>
              <w:widowControl w:val="0"/>
              <w:tabs>
                <w:tab w:val="left" w:leader="none" w:pos="426"/>
                <w:tab w:val="left" w:leader="none" w:pos="709"/>
                <w:tab w:val="left" w:leader="none" w:pos="9781"/>
              </w:tabs>
              <w:spacing w:after="0" w:line="240" w:lineRule="auto"/>
              <w:ind w:right="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5">
            <w:pPr>
              <w:widowControl w:val="0"/>
              <w:tabs>
                <w:tab w:val="left" w:leader="none" w:pos="426"/>
                <w:tab w:val="left" w:leader="none" w:pos="709"/>
                <w:tab w:val="left" w:leader="none" w:pos="9781"/>
              </w:tabs>
              <w:spacing w:after="0" w:line="240" w:lineRule="auto"/>
              <w:ind w:right="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6">
            <w:pPr>
              <w:widowControl w:val="0"/>
              <w:tabs>
                <w:tab w:val="left" w:leader="none" w:pos="426"/>
                <w:tab w:val="left" w:leader="none" w:pos="709"/>
                <w:tab w:val="left" w:leader="none" w:pos="9781"/>
              </w:tabs>
              <w:spacing w:after="0" w:line="240" w:lineRule="auto"/>
              <w:ind w:right="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7">
            <w:pPr>
              <w:widowControl w:val="0"/>
              <w:tabs>
                <w:tab w:val="left" w:leader="none" w:pos="426"/>
                <w:tab w:val="left" w:leader="none" w:pos="709"/>
                <w:tab w:val="left" w:leader="none" w:pos="9781"/>
              </w:tabs>
              <w:spacing w:after="0" w:line="240" w:lineRule="auto"/>
              <w:ind w:right="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8">
            <w:pPr>
              <w:widowControl w:val="0"/>
              <w:tabs>
                <w:tab w:val="left" w:leader="none" w:pos="426"/>
                <w:tab w:val="left" w:leader="none" w:pos="709"/>
                <w:tab w:val="left" w:leader="none" w:pos="9781"/>
              </w:tabs>
              <w:spacing w:after="0" w:line="240" w:lineRule="auto"/>
              <w:ind w:right="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9">
            <w:pPr>
              <w:widowControl w:val="0"/>
              <w:tabs>
                <w:tab w:val="left" w:leader="none" w:pos="426"/>
                <w:tab w:val="left" w:leader="none" w:pos="709"/>
                <w:tab w:val="left" w:leader="none" w:pos="9781"/>
              </w:tabs>
              <w:spacing w:after="0" w:line="240" w:lineRule="auto"/>
              <w:ind w:right="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______________</w:t>
            </w:r>
            <w:r w:rsidDel="00000000" w:rsidR="00000000" w:rsidRPr="00000000">
              <w:rPr>
                <w:rtl w:val="0"/>
              </w:rPr>
            </w:r>
          </w:p>
          <w:p w:rsidR="00000000" w:rsidDel="00000000" w:rsidP="00000000" w:rsidRDefault="00000000" w:rsidRPr="00000000" w14:paraId="0000010A">
            <w:pPr>
              <w:widowControl w:val="0"/>
              <w:tabs>
                <w:tab w:val="left" w:leader="none" w:pos="426"/>
                <w:tab w:val="left" w:leader="none" w:pos="709"/>
                <w:tab w:val="left" w:leader="none" w:pos="9781"/>
              </w:tabs>
              <w:spacing w:after="0" w:line="240" w:lineRule="auto"/>
              <w:ind w:right="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B">
            <w:pPr>
              <w:widowControl w:val="0"/>
              <w:tabs>
                <w:tab w:val="left" w:leader="none" w:pos="426"/>
                <w:tab w:val="left" w:leader="none" w:pos="709"/>
                <w:tab w:val="left" w:leader="none" w:pos="9781"/>
              </w:tabs>
              <w:spacing w:after="0" w:line="240" w:lineRule="auto"/>
              <w:ind w:right="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w:t>
            </w:r>
            <w:r w:rsidDel="00000000" w:rsidR="00000000" w:rsidRPr="00000000">
              <w:rPr>
                <w:rFonts w:ascii="Times New Roman" w:cs="Times New Roman" w:eastAsia="Times New Roman" w:hAnsi="Times New Roman"/>
                <w:b w:val="1"/>
                <w:bCs w:val="1"/>
                <w:rtl w:val="0"/>
              </w:rPr>
              <w:t xml:space="preserve">_______________</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379"/>
              </w:tabs>
              <w:spacing w:after="0" w:before="0" w:line="240" w:lineRule="auto"/>
              <w:ind w:left="0" w:right="77"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М.П.</w:t>
            </w:r>
          </w:p>
        </w:tc>
      </w:tr>
    </w:tbl>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 w:firstLine="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sectPr>
      <w:footerReference r:id="rId7" w:type="default"/>
      <w:pgSz w:h="16838" w:w="11906" w:orient="portrait"/>
      <w:pgMar w:bottom="993" w:top="568" w:left="1134" w:right="566" w:header="708" w:footer="26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Gungsuh"/>
  <w:font w:name="Journ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Пост</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ачальник _____________________                                                                  </w:t>
      <w:tab/>
      <w:t xml:space="preserve">Споживач </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______________________</w:t>
    </w: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3"/>
      <w:numFmt w:val="decimal"/>
      <w:lvlText w:val="%1.%2."/>
      <w:lvlJc w:val="left"/>
      <w:pPr>
        <w:ind w:left="1159" w:hanging="450"/>
      </w:pPr>
      <w:rPr/>
    </w:lvl>
    <w:lvl w:ilvl="2">
      <w:start w:val="1"/>
      <w:numFmt w:val="decimal"/>
      <w:lvlText w:val="%1.%2.%3."/>
      <w:lvlJc w:val="left"/>
      <w:pPr>
        <w:ind w:left="1778" w:hanging="720"/>
      </w:pPr>
      <w:rPr/>
    </w:lvl>
    <w:lvl w:ilvl="3">
      <w:start w:val="1"/>
      <w:numFmt w:val="decimal"/>
      <w:lvlText w:val="%1.%2.%3.%4."/>
      <w:lvlJc w:val="left"/>
      <w:pPr>
        <w:ind w:left="2127" w:hanging="720"/>
      </w:pPr>
      <w:rPr/>
    </w:lvl>
    <w:lvl w:ilvl="4">
      <w:start w:val="1"/>
      <w:numFmt w:val="decimal"/>
      <w:lvlText w:val="%1.%2.%3.%4.%5."/>
      <w:lvlJc w:val="left"/>
      <w:pPr>
        <w:ind w:left="2836" w:hanging="1079.9999999999998"/>
      </w:pPr>
      <w:rPr/>
    </w:lvl>
    <w:lvl w:ilvl="5">
      <w:start w:val="1"/>
      <w:numFmt w:val="decimal"/>
      <w:lvlText w:val="%1.%2.%3.%4.%5.%6."/>
      <w:lvlJc w:val="left"/>
      <w:pPr>
        <w:ind w:left="3185" w:hanging="1080"/>
      </w:pPr>
      <w:rPr/>
    </w:lvl>
    <w:lvl w:ilvl="6">
      <w:start w:val="1"/>
      <w:numFmt w:val="decimal"/>
      <w:lvlText w:val="%1.%2.%3.%4.%5.%6.%7."/>
      <w:lvlJc w:val="left"/>
      <w:pPr>
        <w:ind w:left="3894" w:hanging="1440"/>
      </w:pPr>
      <w:rPr/>
    </w:lvl>
    <w:lvl w:ilvl="7">
      <w:start w:val="1"/>
      <w:numFmt w:val="decimal"/>
      <w:lvlText w:val="%1.%2.%3.%4.%5.%6.%7.%8."/>
      <w:lvlJc w:val="left"/>
      <w:pPr>
        <w:ind w:left="4243" w:hanging="1440"/>
      </w:pPr>
      <w:rPr/>
    </w:lvl>
    <w:lvl w:ilvl="8">
      <w:start w:val="1"/>
      <w:numFmt w:val="decimal"/>
      <w:lvlText w:val="%1.%2.%3.%4.%5.%6.%7.%8.%9."/>
      <w:lvlJc w:val="left"/>
      <w:pPr>
        <w:ind w:left="4952"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28" w:lineRule="auto"/>
      <w:jc w:val="center"/>
    </w:pPr>
    <w:rPr>
      <w:rFonts w:ascii="Journal" w:cs="Journal" w:eastAsia="Journal" w:hAnsi="Journal"/>
      <w:b w:val="1"/>
      <w:bCs w:val="1"/>
      <w:sz w:val="26"/>
      <w:szCs w:val="26"/>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11" w:customStyle="1">
    <w:name w:val="Обычный1"/>
    <w:rsid w:val="00A03852"/>
    <w:pPr>
      <w:spacing w:after="0" w:line="240" w:lineRule="auto"/>
    </w:pPr>
    <w:rPr>
      <w:rFonts w:ascii="Times New Roman" w:cs="Times New Roman" w:eastAsia="Times New Roman" w:hAnsi="Times New Roman"/>
      <w:sz w:val="20"/>
      <w:szCs w:val="20"/>
      <w:lang w:eastAsia="uk-UA" w:val="uk-UA"/>
    </w:rPr>
  </w:style>
  <w:style w:type="paragraph" w:styleId="12" w:customStyle="1">
    <w:name w:val="Основной текст1"/>
    <w:basedOn w:val="11"/>
    <w:rsid w:val="00A03852"/>
    <w:pPr>
      <w:jc w:val="both"/>
    </w:pPr>
    <w:rPr>
      <w:sz w:val="28"/>
    </w:rPr>
  </w:style>
  <w:style w:type="paragraph" w:styleId="a3">
    <w:name w:val="Body Text"/>
    <w:basedOn w:val="a"/>
    <w:link w:val="a4"/>
    <w:rsid w:val="00A03852"/>
    <w:pPr>
      <w:spacing w:after="120" w:line="240" w:lineRule="auto"/>
    </w:pPr>
    <w:rPr>
      <w:rFonts w:ascii="Times New Roman" w:cs="Times New Roman" w:eastAsia="Times New Roman" w:hAnsi="Times New Roman"/>
      <w:sz w:val="20"/>
      <w:szCs w:val="20"/>
    </w:rPr>
  </w:style>
  <w:style w:type="character" w:styleId="a4" w:customStyle="1">
    <w:name w:val="Основной текст Знак"/>
    <w:basedOn w:val="a0"/>
    <w:link w:val="a3"/>
    <w:rsid w:val="00A03852"/>
    <w:rPr>
      <w:rFonts w:ascii="Times New Roman" w:cs="Times New Roman" w:eastAsia="Times New Roman" w:hAnsi="Times New Roman"/>
      <w:sz w:val="20"/>
      <w:szCs w:val="20"/>
      <w:lang w:eastAsia="uk-UA" w:val="uk-UA"/>
    </w:rPr>
  </w:style>
  <w:style w:type="paragraph" w:styleId="Normal1" w:customStyle="1">
    <w:name w:val="Normal1"/>
    <w:rsid w:val="00A03852"/>
    <w:pPr>
      <w:spacing w:after="0" w:line="240" w:lineRule="auto"/>
    </w:pPr>
    <w:rPr>
      <w:rFonts w:ascii="Times New Roman" w:cs="Times New Roman" w:eastAsia="Times New Roman" w:hAnsi="Times New Roman"/>
      <w:sz w:val="20"/>
      <w:szCs w:val="20"/>
      <w:lang w:eastAsia="uk-UA" w:val="uk-UA"/>
    </w:rPr>
  </w:style>
  <w:style w:type="character" w:styleId="apple-converted-space" w:customStyle="1">
    <w:name w:val="apple-converted-space"/>
    <w:rsid w:val="00A03852"/>
    <w:rPr>
      <w:rFonts w:cs="Times New Roman"/>
    </w:rPr>
  </w:style>
  <w:style w:type="paragraph" w:styleId="a5">
    <w:name w:val="header"/>
    <w:basedOn w:val="a"/>
    <w:link w:val="a6"/>
    <w:uiPriority w:val="99"/>
    <w:unhideWhenUsed w:val="1"/>
    <w:rsid w:val="00097549"/>
    <w:pPr>
      <w:tabs>
        <w:tab w:val="center" w:pos="4677"/>
        <w:tab w:val="right" w:pos="9355"/>
      </w:tabs>
      <w:spacing w:after="0" w:line="240" w:lineRule="auto"/>
    </w:pPr>
  </w:style>
  <w:style w:type="character" w:styleId="a6" w:customStyle="1">
    <w:name w:val="Верхний колонтитул Знак"/>
    <w:basedOn w:val="a0"/>
    <w:link w:val="a5"/>
    <w:uiPriority w:val="99"/>
    <w:rsid w:val="00097549"/>
  </w:style>
  <w:style w:type="paragraph" w:styleId="a7">
    <w:name w:val="footer"/>
    <w:basedOn w:val="a"/>
    <w:link w:val="a8"/>
    <w:uiPriority w:val="99"/>
    <w:unhideWhenUsed w:val="1"/>
    <w:rsid w:val="00097549"/>
    <w:pPr>
      <w:tabs>
        <w:tab w:val="center" w:pos="4677"/>
        <w:tab w:val="right" w:pos="9355"/>
      </w:tabs>
      <w:spacing w:after="0" w:line="240" w:lineRule="auto"/>
    </w:pPr>
  </w:style>
  <w:style w:type="character" w:styleId="a8" w:customStyle="1">
    <w:name w:val="Нижний колонтитул Знак"/>
    <w:basedOn w:val="a0"/>
    <w:link w:val="a7"/>
    <w:uiPriority w:val="99"/>
    <w:rsid w:val="00097549"/>
  </w:style>
  <w:style w:type="paragraph" w:styleId="a9">
    <w:name w:val="Balloon Text"/>
    <w:basedOn w:val="a"/>
    <w:link w:val="aa"/>
    <w:uiPriority w:val="99"/>
    <w:semiHidden w:val="1"/>
    <w:unhideWhenUsed w:val="1"/>
    <w:rsid w:val="004F5F4E"/>
    <w:pPr>
      <w:spacing w:after="0" w:line="240" w:lineRule="auto"/>
    </w:pPr>
    <w:rPr>
      <w:rFonts w:ascii="Segoe UI" w:cs="Segoe UI" w:hAnsi="Segoe UI"/>
      <w:sz w:val="18"/>
      <w:szCs w:val="18"/>
    </w:rPr>
  </w:style>
  <w:style w:type="character" w:styleId="aa" w:customStyle="1">
    <w:name w:val="Текст выноски Знак"/>
    <w:basedOn w:val="a0"/>
    <w:link w:val="a9"/>
    <w:uiPriority w:val="99"/>
    <w:semiHidden w:val="1"/>
    <w:rsid w:val="004F5F4E"/>
    <w:rPr>
      <w:rFonts w:ascii="Segoe UI" w:cs="Segoe UI" w:hAnsi="Segoe UI"/>
      <w:sz w:val="18"/>
      <w:szCs w:val="18"/>
    </w:rPr>
  </w:style>
  <w:style w:type="paragraph" w:styleId="ab">
    <w:name w:val="List Paragraph"/>
    <w:basedOn w:val="a"/>
    <w:uiPriority w:val="99"/>
    <w:qFormat w:val="1"/>
    <w:rsid w:val="00EF68F7"/>
    <w:pPr>
      <w:spacing w:after="0" w:line="240" w:lineRule="auto"/>
      <w:ind w:left="720"/>
      <w:contextualSpacing w:val="1"/>
    </w:pPr>
    <w:rPr>
      <w:rFonts w:ascii="Petersburg" w:cs="Times New Roman" w:hAnsi="Petersburg" w:eastAsiaTheme="minorHAnsi"/>
      <w:sz w:val="28"/>
      <w:szCs w:val="28"/>
      <w:lang w:val="uk-UA"/>
    </w:rPr>
  </w:style>
  <w:style w:type="character" w:styleId="ac">
    <w:name w:val="annotation reference"/>
    <w:basedOn w:val="a0"/>
    <w:uiPriority w:val="99"/>
    <w:semiHidden w:val="1"/>
    <w:unhideWhenUsed w:val="1"/>
    <w:rsid w:val="00EF43C5"/>
    <w:rPr>
      <w:sz w:val="16"/>
      <w:szCs w:val="16"/>
    </w:rPr>
  </w:style>
  <w:style w:type="paragraph" w:styleId="ad">
    <w:name w:val="annotation text"/>
    <w:basedOn w:val="a"/>
    <w:link w:val="ae"/>
    <w:uiPriority w:val="99"/>
    <w:semiHidden w:val="1"/>
    <w:unhideWhenUsed w:val="1"/>
    <w:rsid w:val="00EF43C5"/>
    <w:pPr>
      <w:spacing w:line="240" w:lineRule="auto"/>
    </w:pPr>
    <w:rPr>
      <w:sz w:val="20"/>
      <w:szCs w:val="20"/>
    </w:rPr>
  </w:style>
  <w:style w:type="character" w:styleId="ae" w:customStyle="1">
    <w:name w:val="Текст примечания Знак"/>
    <w:basedOn w:val="a0"/>
    <w:link w:val="ad"/>
    <w:uiPriority w:val="99"/>
    <w:semiHidden w:val="1"/>
    <w:rsid w:val="00EF43C5"/>
    <w:rPr>
      <w:sz w:val="20"/>
      <w:szCs w:val="20"/>
    </w:rPr>
  </w:style>
  <w:style w:type="paragraph" w:styleId="af">
    <w:name w:val="Revision"/>
    <w:hidden w:val="1"/>
    <w:uiPriority w:val="99"/>
    <w:semiHidden w:val="1"/>
    <w:rsid w:val="001753F5"/>
    <w:pPr>
      <w:spacing w:after="0" w:line="240" w:lineRule="auto"/>
    </w:pPr>
  </w:style>
  <w:style w:type="paragraph" w:styleId="af0">
    <w:name w:val="annotation subject"/>
    <w:basedOn w:val="ad"/>
    <w:next w:val="ad"/>
    <w:link w:val="af1"/>
    <w:uiPriority w:val="99"/>
    <w:semiHidden w:val="1"/>
    <w:unhideWhenUsed w:val="1"/>
    <w:rsid w:val="003468C5"/>
    <w:rPr>
      <w:b w:val="1"/>
      <w:bCs w:val="1"/>
    </w:rPr>
  </w:style>
  <w:style w:type="character" w:styleId="af1" w:customStyle="1">
    <w:name w:val="Тема примечания Знак"/>
    <w:basedOn w:val="ae"/>
    <w:link w:val="af0"/>
    <w:uiPriority w:val="99"/>
    <w:semiHidden w:val="1"/>
    <w:rsid w:val="003468C5"/>
    <w:rPr>
      <w:b w:val="1"/>
      <w:bCs w:val="1"/>
      <w:sz w:val="20"/>
      <w:szCs w:val="20"/>
    </w:rPr>
  </w:style>
  <w:style w:type="character" w:styleId="af2">
    <w:name w:val="Hyperlink"/>
    <w:basedOn w:val="a0"/>
    <w:uiPriority w:val="99"/>
    <w:unhideWhenUsed w:val="1"/>
    <w:rsid w:val="00DC64D7"/>
    <w:rPr>
      <w:color w:val="0000ff" w:themeColor="hyperlink"/>
      <w:u w:val="single"/>
    </w:rPr>
  </w:style>
  <w:style w:type="paragraph" w:styleId="rvps2" w:customStyle="1">
    <w:name w:val="rvps2"/>
    <w:basedOn w:val="a"/>
    <w:rsid w:val="00D31280"/>
    <w:pPr>
      <w:spacing w:after="100" w:afterAutospacing="1" w:before="100" w:beforeAutospacing="1" w:line="240" w:lineRule="auto"/>
    </w:pPr>
    <w:rPr>
      <w:rFonts w:ascii="Times New Roman" w:cs="Times New Roman" w:eastAsia="Times New Roman" w:hAnsi="Times New Roman"/>
      <w:sz w:val="24"/>
      <w:szCs w:val="24"/>
    </w:rPr>
  </w:style>
  <w:style w:type="character" w:styleId="10" w:customStyle="1">
    <w:name w:val="Заголовок 1 Знак"/>
    <w:basedOn w:val="a0"/>
    <w:link w:val="1"/>
    <w:rsid w:val="00530F73"/>
    <w:rPr>
      <w:rFonts w:ascii="Journal" w:cs="Times New Roman" w:eastAsia="Times New Roman" w:hAnsi="Journal"/>
      <w:b w:val="1"/>
      <w:sz w:val="26"/>
      <w:szCs w:val="20"/>
      <w:lang w:val="uk-UA"/>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LgyaMIErqYac/GU9vE4zwPL/cQ==">CgMxLjAaJQoBMBIgCh4IB0IaCg9UaW1lcyBOZXcgUm9tYW4SB0d1bmdzdWgaJQoBMRIgCh4IB0IaCg9UaW1lcyBOZXcgUm9tYW4SB0d1bmdzdWgyD2lkLnczZzkxbHhoN25nbzIPaWQuYWZyMmV2N21zczg3Mg9pZC51dzVjbmoyZ3ZhMXEyD2lkLjFsMHg1dHlhMXZ6ZjIPaWQuZDQ3cDQ5cno0bXpzMg9pZC52dDE1NWcydzY5NnoyD2lkLjZtYXpmdG4yYWtxbDgAciExdXJ4Xzgwb3ZoRzdOVDZfSHpBZEdkQkpzREU3VXlFOF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2019-02-28T08:24:00Z</dcterms:created>
  <dc:creator>HP</dc:creator>
</cp:coreProperties>
</file>